
<file path=[Content_Types].xml><?xml version="1.0" encoding="utf-8"?>
<Types xmlns="http://schemas.openxmlformats.org/package/2006/content-types">
  <Default Extension="xml" ContentType="application/xml"/>
  <Default Extension="bin" ContentType="application/vnd.openxmlformats-officedocument.oleObject"/>
  <Default Extension="png" ContentType="image/png"/>
  <Default Extension="emf" ContentType="image/x-e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3E49ECC">
      <w:pPr>
        <w:spacing w:after="0" w:line="240" w:lineRule="auto"/>
      </w:pPr>
      <w:r>
        <w:drawing>
          <wp:inline distT="0" distB="0" distL="114300" distR="114300">
            <wp:extent cx="2853055" cy="700405"/>
            <wp:effectExtent l="0" t="0" r="4445" b="4445"/>
            <wp:docPr id="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pic:cNvPicPr>
                      <a:picLocks noChangeAspect="1"/>
                    </pic:cNvPicPr>
                  </pic:nvPicPr>
                  <pic:blipFill>
                    <a:blip r:embed="rId8"/>
                    <a:stretch>
                      <a:fillRect/>
                    </a:stretch>
                  </pic:blipFill>
                  <pic:spPr>
                    <a:xfrm>
                      <a:off x="0" y="0"/>
                      <a:ext cx="2853055" cy="700405"/>
                    </a:xfrm>
                    <a:prstGeom prst="rect">
                      <a:avLst/>
                    </a:prstGeom>
                    <a:solidFill>
                      <a:schemeClr val="accent1"/>
                    </a:solidFill>
                    <a:ln>
                      <a:noFill/>
                    </a:ln>
                  </pic:spPr>
                </pic:pic>
              </a:graphicData>
            </a:graphic>
          </wp:inline>
        </w:drawing>
      </w:r>
    </w:p>
    <w:p w14:paraId="4944F87C">
      <w:pPr>
        <w:spacing w:after="0" w:line="240" w:lineRule="auto"/>
        <w:rPr>
          <w:color w:val="000000"/>
        </w:rPr>
      </w:pPr>
    </w:p>
    <w:p w14:paraId="4DEA9C0E">
      <w:pPr>
        <w:spacing w:after="0" w:line="240" w:lineRule="auto"/>
        <w:rPr>
          <w:color w:val="000000"/>
          <w:sz w:val="6"/>
          <w:szCs w:val="6"/>
        </w:rPr>
      </w:pPr>
    </w:p>
    <w:p w14:paraId="6DCBA4F4">
      <w:pPr>
        <w:spacing w:after="0" w:line="240" w:lineRule="auto"/>
        <w:jc w:val="both"/>
        <w:rPr>
          <w:color w:val="000000"/>
          <w:sz w:val="20"/>
          <w:szCs w:val="20"/>
        </w:rPr>
      </w:pPr>
      <w:r>
        <w:pict>
          <v:shape id="Text Box 1" o:spid="_x0000_s1026" o:spt="202" type="#_x0000_t202" style="position:absolute;left:0pt;margin-left:176.45pt;margin-top:6.1pt;height:31.4pt;width:149.4pt;mso-position-horizontal-relative:margin;z-index:251660288;mso-width-relative:page;mso-height-relative:page;" fillcolor="#4BACC6" filled="t" stroked="t"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">
            <v:path/>
            <v:fill on="t" focussize="0,0"/>
            <v:stroke weight="3pt" color="#F2F2F2" joinstyle="miter"/>
            <v:imagedata o:title=""/>
            <o:lock v:ext="edit"/>
            <v:shadow on="t" type="perspective" color="#205867" opacity="32768f" offset="1pt,2pt" offset2="-1pt,-2pt"/>
            <v:textbox>
              <w:txbxContent>
                <w:p w14:paraId="79DE3077">
                  <w:pPr>
                    <w:jc w:val="center"/>
                    <w:rPr>
                      <w:rFonts w:ascii="Book Antiqua" w:hAnsi="Book Antiqua"/>
                      <w:b/>
                      <w:color w:val="92D050"/>
                      <w:sz w:val="32"/>
                      <w:szCs w:val="32"/>
                    </w:rPr>
                  </w:pPr>
                  <w:r>
                    <w:rPr>
                      <w:rFonts w:ascii="Book Antiqua" w:hAnsi="Book Antiqua"/>
                      <w:b/>
                      <w:color w:val="FFFFFF" w:themeColor="background1"/>
                      <w:sz w:val="32"/>
                      <w:szCs w:val="32"/>
                    </w:rPr>
                    <w:t>Case R</w:t>
                  </w:r>
                  <w:r>
                    <w:object>
                      <v:shape id="_x0000_i1026" o:spt="75" type="#_x0000_t75" style="height:56.6pt;width:228.75pt;" o:ole="t" filled="f" o:preferrelative="t" stroked="f" coordsize="21600,21600">
                        <v:path/>
                        <v:fill on="f" focussize="0,0"/>
                        <v:stroke on="f"/>
                        <v:imagedata r:id="rId10" o:title=""/>
                        <o:lock v:ext="edit" aspectratio="t"/>
                        <w10:wrap type="none"/>
                        <w10:anchorlock/>
                      </v:shape>
                      <o:OLEObject Type="Embed" ProgID="CorelDraw.Graphic.17" ShapeID="_x0000_i1026" DrawAspect="Content" ObjectID="_1468075725" r:id="rId9">
                        <o:LockedField>false</o:LockedField>
                      </o:OLEObject>
                    </w:object>
                  </w:r>
                  <w:r>
                    <w:rPr>
                      <w:rFonts w:ascii="Book Antiqua" w:hAnsi="Book Antiqua"/>
                      <w:b/>
                      <w:color w:val="FFFFFF" w:themeColor="background1"/>
                      <w:sz w:val="32"/>
                      <w:szCs w:val="32"/>
                    </w:rPr>
                    <w:t>eport</w:t>
                  </w:r>
                </w:p>
              </w:txbxContent>
            </v:textbox>
          </v:shape>
        </w:pict>
      </w:r>
    </w:p>
    <w:p w14:paraId="315081AB">
      <w:pPr>
        <w:spacing w:after="0" w:line="240" w:lineRule="auto"/>
        <w:jc w:val="both"/>
        <w:rPr>
          <w:color w:val="000000"/>
        </w:rPr>
      </w:pPr>
      <w:r>
        <w:rPr>
          <w:color w:val="000000"/>
        </w:rPr>
        <w:pict>
          <v:group id="_x0000_s1092" o:spid="_x0000_s1092" o:spt="203" style="height:27pt;width:495pt;" coordsize="9900,540" editas="canvas">
            <o:lock v:ext="edit"/>
            <v:shape id="_x0000_s1091" o:spid="_x0000_s1091" o:spt="75" type="#_x0000_t75" style="position:absolute;left:0;top:0;height:540;width:9900;" filled="f" o:preferrelative="f" stroked="f" coordsize="21600,21600">
              <v:path/>
              <v:fill on="f" focussize="0,0"/>
              <v:stroke on="f" joinstyle="miter"/>
              <v:imagedata o:title=""/>
              <o:lock v:ext="edit" text="t" aspectratio="t"/>
            </v:shape>
            <v:rect id="_x0000_s1093" o:spid="_x0000_s1093" o:spt="1" style="position:absolute;left:23;top:15;height:290;width:9854;" fillcolor="#002060" filled="t" stroked="f" coordsize="21600,21600">
              <v:path/>
              <v:fill on="t" focussize="0,0"/>
              <v:stroke on="f"/>
              <v:imagedata o:title=""/>
              <o:lock v:ext="edit"/>
            </v:rect>
            <v:rect id="_x0000_s1094" o:spid="_x0000_s1094" o:spt="1" style="position:absolute;left:23;top:302;height:223;width:9854;" fillcolor="#A8C8B8" filled="t" stroked="f" coordsize="21600,21600">
              <v:path/>
              <v:fill on="t" focussize="0,0"/>
              <v:stroke on="f"/>
              <v:imagedata o:title=""/>
              <o:lock v:ext="edit"/>
            </v:rect>
            <v:rect id="_x0000_s1095" o:spid="_x0000_s1095" o:spt="1" style="position:absolute;left:4260;top:41;height:482;width:1418;mso-wrap-style:none;" filled="f" stroked="f" coordsize="21600,21600">
              <v:path/>
              <v:fill on="f" focussize="0,0"/>
              <v:stroke on="f"/>
              <v:imagedata o:title=""/>
              <o:lock v:ext="edit"/>
              <v:textbox inset="0mm,0mm,0mm,0mm" style="mso-fit-shape-to-text:t;">
                <w:txbxContent>
                  <w:p w14:paraId="4C06C4DE">
                    <w:r>
                      <w:rPr>
                        <w:rFonts w:ascii="Futura BdCn BT" w:hAnsi="Futura BdCn BT" w:cs="Futura BdCn BT"/>
                        <w:color w:val="FFFFFF"/>
                        <w:sz w:val="20"/>
                        <w:szCs w:val="20"/>
                      </w:rPr>
                      <w:t>Original Article</w:t>
                    </w:r>
                  </w:p>
                </w:txbxContent>
              </v:textbox>
            </v:rect>
            <w10:wrap type="none"/>
            <w10:anchorlock/>
          </v:group>
        </w:pict>
      </w:r>
    </w:p>
    <w:p w14:paraId="54AE9282">
      <w:pPr>
        <w:spacing w:after="0" w:line="240" w:lineRule="auto"/>
        <w:jc w:val="both"/>
        <w:rPr>
          <w:color w:val="000000"/>
          <w:sz w:val="10"/>
          <w:szCs w:val="10"/>
        </w:rPr>
      </w:pPr>
    </w:p>
    <w:p w14:paraId="6E049C26">
      <w:pPr>
        <w:spacing w:line="240" w:lineRule="auto"/>
        <w:jc w:val="center"/>
        <w:rPr>
          <w:rFonts w:ascii="Times New Roman" w:hAnsi="Times New Roman" w:eastAsia="Times New Roman" w:cs="Times New Roman"/>
          <w:b/>
          <w:color w:val="366091"/>
          <w:sz w:val="2"/>
          <w:szCs w:val="2"/>
        </w:rPr>
      </w:pPr>
    </w:p>
    <w:p w14:paraId="1356E754">
      <w:pPr>
        <w:jc w:val="center"/>
        <w:rPr>
          <w:rFonts w:ascii="Times New Roman" w:hAnsi="Times New Roman" w:eastAsia="Times New Roman" w:cs="Times New Roman"/>
          <w:b/>
          <w:color w:val="366091"/>
          <w:sz w:val="6"/>
          <w:szCs w:val="6"/>
        </w:rPr>
      </w:pPr>
      <w:bookmarkStart w:id="0" w:name="_gjdgxs" w:colFirst="0" w:colLast="0"/>
      <w:bookmarkEnd w:id="0"/>
      <w:r>
        <w:rPr>
          <w:rFonts w:ascii="Times New Roman" w:hAnsi="Times New Roman" w:eastAsia="Times New Roman" w:cs="Times New Roman"/>
          <w:b/>
          <w:color w:val="366091"/>
          <w:sz w:val="32"/>
          <w:szCs w:val="32"/>
        </w:rPr>
        <w:t xml:space="preserve">Persistent Patent Urachus in an Adult, a Case Report at a Private </w:t>
      </w:r>
      <w:r>
        <w:rPr>
          <w:rFonts w:ascii="Times New Roman" w:hAnsi="Times New Roman" w:eastAsia="Times New Roman" w:cs="Times New Roman"/>
          <w:b/>
          <w:color w:val="366091"/>
          <w:sz w:val="32"/>
          <w:szCs w:val="32"/>
        </w:rPr>
        <w:br w:type="textWrapping"/>
      </w:r>
      <w:r>
        <w:rPr>
          <w:rFonts w:ascii="Times New Roman" w:hAnsi="Times New Roman" w:eastAsia="Times New Roman" w:cs="Times New Roman"/>
          <w:b/>
          <w:color w:val="366091"/>
          <w:sz w:val="32"/>
          <w:szCs w:val="32"/>
        </w:rPr>
        <w:t>Facility in Ondo City, Nigeria.</w:t>
      </w:r>
    </w:p>
    <w:p w14:paraId="534FD212">
      <w:pPr>
        <w:rPr>
          <w:rFonts w:ascii="Times New Roman" w:hAnsi="Times New Roman" w:eastAsia="Times New Roman" w:cs="Times New Roman"/>
          <w:b/>
          <w:sz w:val="24"/>
          <w:szCs w:val="24"/>
        </w:rPr>
      </w:pPr>
      <w:r>
        <w:rPr>
          <w:rFonts w:ascii="Times New Roman" w:hAnsi="Times New Roman" w:eastAsia="Times New Roman" w:cs="Times New Roman"/>
          <w:b/>
          <w:sz w:val="24"/>
          <w:szCs w:val="24"/>
          <w:vertAlign w:val="superscript"/>
        </w:rPr>
        <w:t>1</w:t>
      </w:r>
      <w:r>
        <w:rPr>
          <w:rFonts w:ascii="Times New Roman" w:hAnsi="Times New Roman" w:eastAsia="Times New Roman" w:cs="Times New Roman"/>
          <w:b/>
          <w:sz w:val="24"/>
          <w:szCs w:val="24"/>
        </w:rPr>
        <w:t xml:space="preserve">Ogundiniyi S O, </w:t>
      </w:r>
      <w:r>
        <w:rPr>
          <w:rFonts w:ascii="Times New Roman" w:hAnsi="Times New Roman" w:eastAsia="Times New Roman" w:cs="Times New Roman"/>
          <w:b/>
          <w:sz w:val="24"/>
          <w:szCs w:val="24"/>
          <w:vertAlign w:val="superscript"/>
        </w:rPr>
        <w:t>1</w:t>
      </w:r>
      <w:r>
        <w:rPr>
          <w:rFonts w:ascii="Times New Roman" w:hAnsi="Times New Roman" w:eastAsia="Times New Roman" w:cs="Times New Roman"/>
          <w:b/>
          <w:sz w:val="24"/>
          <w:szCs w:val="24"/>
        </w:rPr>
        <w:t xml:space="preserve">Kumolalo F O,  </w:t>
      </w:r>
      <w:r>
        <w:rPr>
          <w:rFonts w:ascii="Times New Roman" w:hAnsi="Times New Roman" w:eastAsia="Times New Roman" w:cs="Times New Roman"/>
          <w:b/>
          <w:sz w:val="24"/>
          <w:szCs w:val="24"/>
          <w:vertAlign w:val="superscript"/>
        </w:rPr>
        <w:t>1</w:t>
      </w:r>
      <w:r>
        <w:rPr>
          <w:rFonts w:ascii="Times New Roman" w:hAnsi="Times New Roman" w:eastAsia="Times New Roman" w:cs="Times New Roman"/>
          <w:b/>
          <w:sz w:val="24"/>
          <w:szCs w:val="24"/>
        </w:rPr>
        <w:t xml:space="preserve">Alegbeleye B J,  </w:t>
      </w:r>
      <w:r>
        <w:rPr>
          <w:rFonts w:ascii="Times New Roman" w:hAnsi="Times New Roman" w:eastAsia="Times New Roman" w:cs="Times New Roman"/>
          <w:b/>
          <w:sz w:val="24"/>
          <w:szCs w:val="24"/>
          <w:vertAlign w:val="superscript"/>
        </w:rPr>
        <w:t>2</w:t>
      </w:r>
      <w:r>
        <w:rPr>
          <w:rFonts w:ascii="Times New Roman" w:hAnsi="Times New Roman" w:eastAsia="Times New Roman" w:cs="Times New Roman"/>
          <w:b/>
          <w:sz w:val="24"/>
          <w:szCs w:val="24"/>
        </w:rPr>
        <w:t xml:space="preserve">Edo-Olotu F, </w:t>
      </w:r>
      <w:r>
        <w:rPr>
          <w:rFonts w:ascii="Times New Roman" w:hAnsi="Times New Roman" w:eastAsia="Times New Roman" w:cs="Times New Roman"/>
          <w:b/>
          <w:sz w:val="24"/>
          <w:szCs w:val="24"/>
          <w:vertAlign w:val="superscript"/>
        </w:rPr>
        <w:t>2</w:t>
      </w:r>
      <w:r>
        <w:rPr>
          <w:rFonts w:ascii="Times New Roman" w:hAnsi="Times New Roman" w:eastAsia="Times New Roman" w:cs="Times New Roman"/>
          <w:b/>
          <w:sz w:val="24"/>
          <w:szCs w:val="24"/>
        </w:rPr>
        <w:t xml:space="preserve">Edo-Olotu E,  </w:t>
      </w:r>
      <w:r>
        <w:rPr>
          <w:rFonts w:ascii="Times New Roman" w:hAnsi="Times New Roman" w:eastAsia="Times New Roman" w:cs="Times New Roman"/>
          <w:b/>
          <w:sz w:val="24"/>
          <w:szCs w:val="24"/>
          <w:vertAlign w:val="superscript"/>
        </w:rPr>
        <w:t>1</w:t>
      </w:r>
      <w:r>
        <w:rPr>
          <w:rFonts w:ascii="Times New Roman" w:hAnsi="Times New Roman" w:eastAsia="Times New Roman" w:cs="Times New Roman"/>
          <w:b/>
          <w:sz w:val="24"/>
          <w:szCs w:val="24"/>
        </w:rPr>
        <w:t xml:space="preserve">Pelemo O E  </w:t>
      </w:r>
      <w:r>
        <w:rPr>
          <w:rFonts w:ascii="Times New Roman" w:hAnsi="Times New Roman" w:eastAsia="Times New Roman" w:cs="Times New Roman"/>
          <w:b/>
          <w:sz w:val="24"/>
          <w:szCs w:val="24"/>
          <w:vertAlign w:val="superscript"/>
        </w:rPr>
        <w:t>1</w:t>
      </w:r>
      <w:r>
        <w:rPr>
          <w:rFonts w:ascii="Times New Roman" w:hAnsi="Times New Roman" w:eastAsia="Times New Roman" w:cs="Times New Roman"/>
          <w:b/>
          <w:sz w:val="24"/>
          <w:szCs w:val="24"/>
        </w:rPr>
        <w:t>Ajekwu S C</w:t>
      </w:r>
      <w:bookmarkStart w:id="1" w:name="_GoBack"/>
      <w:bookmarkEnd w:id="1"/>
    </w:p>
    <w:p w14:paraId="7B487E68">
      <w:pPr>
        <w:pBdr>
          <w:top w:val="none" w:color="auto" w:sz="0" w:space="0"/>
          <w:left w:val="none" w:color="auto" w:sz="0" w:space="0"/>
          <w:bottom w:val="none" w:color="auto" w:sz="0" w:space="0"/>
          <w:right w:val="none" w:color="auto" w:sz="0" w:space="0"/>
          <w:between w:val="none" w:color="auto" w:sz="0" w:space="0"/>
        </w:pBdr>
        <w:spacing w:after="0" w:line="240" w:lineRule="auto"/>
        <w:jc w:val="center"/>
        <w:rPr>
          <w:rFonts w:ascii="Times New Roman" w:hAnsi="Times New Roman" w:eastAsia="Times New Roman" w:cs="Times New Roman"/>
          <w:color w:val="000000"/>
        </w:rPr>
      </w:pPr>
      <w:r>
        <w:rPr>
          <w:rFonts w:ascii="Times New Roman" w:hAnsi="Times New Roman" w:eastAsia="Times New Roman" w:cs="Times New Roman"/>
          <w:color w:val="000000"/>
        </w:rPr>
        <w:t xml:space="preserve">* Department of Surgery, University of Medical Sciences Complex Ondo  </w:t>
      </w:r>
      <w:r>
        <w:rPr>
          <w:rFonts w:ascii="Times New Roman" w:hAnsi="Times New Roman" w:eastAsia="Times New Roman" w:cs="Times New Roman"/>
          <w:b/>
          <w:color w:val="000000"/>
          <w:sz w:val="24"/>
          <w:szCs w:val="24"/>
          <w:vertAlign w:val="superscript"/>
        </w:rPr>
        <w:t>2</w:t>
      </w:r>
      <w:r>
        <w:rPr>
          <w:rFonts w:ascii="Times New Roman" w:hAnsi="Times New Roman" w:eastAsia="Times New Roman" w:cs="Times New Roman"/>
          <w:color w:val="000000"/>
        </w:rPr>
        <w:t>Christ Hospital, Ondo</w:t>
      </w:r>
    </w:p>
    <w:p w14:paraId="7D745B99">
      <w:pPr>
        <w:pBdr>
          <w:top w:val="none" w:color="auto" w:sz="0" w:space="0"/>
          <w:left w:val="none" w:color="auto" w:sz="0" w:space="0"/>
          <w:bottom w:val="none" w:color="auto" w:sz="0" w:space="0"/>
          <w:right w:val="none" w:color="auto" w:sz="0" w:space="0"/>
          <w:between w:val="none" w:color="auto" w:sz="0" w:space="0"/>
        </w:pBdr>
        <w:spacing w:after="0" w:line="240" w:lineRule="auto"/>
        <w:rPr>
          <w:rFonts w:ascii="Times New Roman" w:hAnsi="Times New Roman" w:eastAsia="Times New Roman" w:cs="Times New Roman"/>
          <w:color w:val="000000"/>
          <w:sz w:val="16"/>
          <w:szCs w:val="16"/>
        </w:rPr>
      </w:pPr>
    </w:p>
    <w:p w14:paraId="6EDDEE19">
      <w:pPr>
        <w:pBdr>
          <w:top w:val="none" w:color="auto" w:sz="0" w:space="0"/>
          <w:left w:val="none" w:color="auto" w:sz="0" w:space="0"/>
          <w:bottom w:val="none" w:color="auto" w:sz="0" w:space="0"/>
          <w:right w:val="none" w:color="auto" w:sz="0" w:space="0"/>
          <w:between w:val="none" w:color="auto" w:sz="0" w:space="0"/>
        </w:pBdr>
        <w:spacing w:after="0" w:line="240" w:lineRule="auto"/>
        <w:jc w:val="center"/>
        <w:rPr>
          <w:rFonts w:ascii="Times New Roman" w:hAnsi="Times New Roman" w:eastAsia="Times New Roman" w:cs="Times New Roman"/>
          <w:b/>
          <w:color w:val="000000"/>
          <w:sz w:val="8"/>
          <w:szCs w:val="8"/>
          <w:vertAlign w:val="superscript"/>
        </w:rPr>
      </w:pPr>
    </w:p>
    <w:p w14:paraId="17F1DCA8">
      <w:pPr>
        <w:spacing w:after="0" w:line="240" w:lineRule="auto"/>
        <w:jc w:val="both"/>
        <w:rPr>
          <w:color w:val="000000"/>
        </w:rPr>
      </w:pPr>
      <w:r>
        <w:rPr>
          <w:color w:val="000000"/>
        </w:rPr>
        <w:pict>
          <v:group id="_x0000_s1098" o:spid="_x0000_s1098" o:spt="203" style="height:26.2pt;width:508.5pt;" coordsize="10170,524" editas="canvas">
            <o:lock v:ext="edit"/>
            <v:shape id="_x0000_s1097" o:spid="_x0000_s1097" o:spt="75" type="#_x0000_t75" style="position:absolute;left:0;top:0;height:524;width:10170;" filled="f" o:preferrelative="f" stroked="f" coordsize="21600,21600">
              <v:path/>
              <v:fill on="f" focussize="0,0"/>
              <v:stroke on="f" joinstyle="miter"/>
              <v:imagedata o:title=""/>
              <o:lock v:ext="edit" text="t" aspectratio="t"/>
            </v:shape>
            <v:rect id="_x0000_s1099" o:spid="_x0000_s1099" o:spt="1" style="position:absolute;left:24;top:14;height:272;width:10122;" fillcolor="#A8C8B8" filled="t" stroked="f" coordsize="21600,21600">
              <v:path/>
              <v:fill on="t" focussize="0,0"/>
              <v:stroke on="f"/>
              <v:imagedata o:title=""/>
              <o:lock v:ext="edit"/>
            </v:rect>
            <v:rect id="_x0000_s1100" o:spid="_x0000_s1100" o:spt="1" style="position:absolute;left:24;top:14;height:272;width:2448;" fillcolor="#1F497D" filled="t" stroked="f" coordsize="21600,21600">
              <v:path/>
              <v:fill on="t" focussize="0,0"/>
              <v:stroke on="f"/>
              <v:imagedata o:title=""/>
              <o:lock v:ext="edit"/>
            </v:rect>
            <v:rect id="_x0000_s1101" o:spid="_x0000_s1101" o:spt="1" style="position:absolute;left:215;top:42;height:482;width:824;mso-wrap-style:none;" filled="f" stroked="f" coordsize="21600,21600">
              <v:path/>
              <v:fill on="f" focussize="0,0"/>
              <v:stroke on="f"/>
              <v:imagedata o:title=""/>
              <o:lock v:ext="edit"/>
              <v:textbox inset="0mm,0mm,0mm,0mm" style="mso-fit-shape-to-text:t;">
                <w:txbxContent>
                  <w:p w14:paraId="0A6387BF">
                    <w:r>
                      <w:rPr>
                        <w:rFonts w:ascii="Futura BdCn BT" w:hAnsi="Futura BdCn BT" w:cs="Futura BdCn BT"/>
                        <w:color w:val="FFFFFF"/>
                        <w:sz w:val="20"/>
                        <w:szCs w:val="20"/>
                      </w:rPr>
                      <w:t>Abstract</w:t>
                    </w:r>
                  </w:p>
                </w:txbxContent>
              </v:textbox>
            </v:rect>
            <w10:wrap type="none"/>
            <w10:anchorlock/>
          </v:group>
        </w:pict>
      </w:r>
    </w:p>
    <w:p w14:paraId="548E98A2">
      <w:pPr>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Patent urachus is a rare congenital condition in which the urachus, a tube that connects the bladder and the umbilicus in fetal development, does not close before birth. This results in a persistent communication or fistula between the bladder and the umbilicus, causing urine to leak from the umbilicus. The condition is usually diagnosed early in life. This case of a patent urachus in a 22 years old female is rare and of interest. The condition was managed by excision of the urachus and dome of the bladder. The author highlights the need for high index of suspicion so as not to miss the diagnosis in a adult since the condition can mimic varying nonspecific symptoms.</w:t>
      </w:r>
    </w:p>
    <w:p w14:paraId="405FA84A">
      <w:pPr>
        <w:jc w:val="both"/>
        <w:rPr>
          <w:rFonts w:ascii="Times New Roman" w:hAnsi="Times New Roman" w:eastAsia="Times New Roman" w:cs="Times New Roman"/>
          <w:sz w:val="24"/>
          <w:szCs w:val="24"/>
        </w:rPr>
      </w:pPr>
      <w:r>
        <w:rPr>
          <w:rFonts w:ascii="Times New Roman" w:hAnsi="Times New Roman" w:eastAsia="Times New Roman" w:cs="Times New Roman"/>
          <w:b/>
          <w:color w:val="366091"/>
          <w:sz w:val="24"/>
          <w:szCs w:val="24"/>
        </w:rPr>
        <w:t>Key words</w:t>
      </w:r>
      <w:r>
        <w:rPr>
          <w:rFonts w:ascii="Times New Roman" w:hAnsi="Times New Roman" w:eastAsia="Times New Roman" w:cs="Times New Roman"/>
          <w:color w:val="366091"/>
          <w:sz w:val="24"/>
          <w:szCs w:val="24"/>
        </w:rPr>
        <w:t>:</w:t>
      </w:r>
      <w:r>
        <w:rPr>
          <w:rFonts w:ascii="Times New Roman" w:hAnsi="Times New Roman" w:eastAsia="Times New Roman" w:cs="Times New Roman"/>
          <w:sz w:val="24"/>
          <w:szCs w:val="24"/>
        </w:rPr>
        <w:t xml:space="preserve"> patent urachus, congenital anomaly.</w:t>
      </w:r>
    </w:p>
    <w:p w14:paraId="41CE7DBB">
      <w:pPr>
        <w:pBdr>
          <w:top w:val="none" w:color="auto" w:sz="0" w:space="0"/>
          <w:left w:val="none" w:color="auto" w:sz="0" w:space="0"/>
          <w:bottom w:val="none" w:color="auto" w:sz="0" w:space="0"/>
          <w:right w:val="none" w:color="auto" w:sz="0" w:space="0"/>
          <w:between w:val="none" w:color="auto" w:sz="0" w:space="0"/>
        </w:pBdr>
        <w:spacing w:after="0" w:line="240" w:lineRule="auto"/>
        <w:jc w:val="both"/>
        <w:rPr>
          <w:rFonts w:ascii="Times New Roman" w:hAnsi="Times New Roman" w:eastAsia="Times New Roman" w:cs="Times New Roman"/>
          <w:color w:val="000000"/>
          <w:sz w:val="28"/>
          <w:szCs w:val="28"/>
          <w:highlight w:val="white"/>
        </w:rPr>
      </w:pPr>
      <w:r>
        <w:rPr>
          <w:rFonts w:ascii="Times New Roman" w:hAnsi="Times New Roman" w:eastAsia="Times New Roman" w:cs="Times New Roman"/>
          <w:color w:val="000000"/>
          <w:sz w:val="28"/>
          <w:szCs w:val="28"/>
          <w:highlight w:val="white"/>
        </w:rPr>
        <w:t>__________________________________________________________________</w:t>
      </w:r>
    </w:p>
    <w:p w14:paraId="545237DC">
      <w:pPr>
        <w:pBdr>
          <w:top w:val="none" w:color="auto" w:sz="0" w:space="0"/>
          <w:left w:val="none" w:color="auto" w:sz="0" w:space="0"/>
          <w:bottom w:val="none" w:color="auto" w:sz="0" w:space="0"/>
          <w:right w:val="none" w:color="auto" w:sz="0" w:space="0"/>
          <w:between w:val="none" w:color="auto" w:sz="0" w:space="0"/>
        </w:pBdr>
        <w:spacing w:after="0" w:line="240" w:lineRule="auto"/>
        <w:jc w:val="both"/>
        <w:rPr>
          <w:rFonts w:ascii="Times New Roman" w:hAnsi="Times New Roman" w:eastAsia="Times New Roman" w:cs="Times New Roman"/>
          <w:color w:val="000000"/>
          <w:sz w:val="14"/>
          <w:szCs w:val="14"/>
        </w:rPr>
      </w:pPr>
    </w:p>
    <w:p w14:paraId="083441EA">
      <w:pPr>
        <w:spacing w:line="240" w:lineRule="auto"/>
        <w:jc w:val="both"/>
        <w:rPr>
          <w:rFonts w:ascii="Times New Roman" w:hAnsi="Times New Roman" w:eastAsia="Times New Roman" w:cs="Times New Roman"/>
          <w:sz w:val="24"/>
          <w:szCs w:val="24"/>
        </w:rPr>
      </w:pPr>
      <w:r>
        <w:rPr>
          <w:rFonts w:ascii="Times New Roman" w:hAnsi="Times New Roman" w:eastAsia="Times New Roman" w:cs="Times New Roman"/>
          <w:b/>
          <w:color w:val="17365D"/>
          <w:sz w:val="24"/>
          <w:szCs w:val="24"/>
        </w:rPr>
        <w:t xml:space="preserve">Address for correspondence author:  </w:t>
      </w:r>
      <w:r>
        <w:rPr>
          <w:rFonts w:ascii="Times New Roman" w:hAnsi="Times New Roman" w:eastAsia="Times New Roman" w:cs="Times New Roman"/>
          <w:sz w:val="24"/>
          <w:szCs w:val="24"/>
        </w:rPr>
        <w:t>DR S.O Ogundiniyi, e mail sogundiniyi@unimed.edu.ng</w:t>
      </w:r>
    </w:p>
    <w:p w14:paraId="3E8A73FD">
      <w:pPr>
        <w:spacing w:line="240" w:lineRule="auto"/>
        <w:jc w:val="both"/>
        <w:rPr>
          <w:rFonts w:ascii="Times New Roman" w:hAnsi="Times New Roman" w:eastAsia="Times New Roman" w:cs="Times New Roman"/>
        </w:rPr>
      </w:pPr>
      <w:r>
        <w:rPr>
          <w:rFonts w:ascii="Times New Roman" w:hAnsi="Times New Roman" w:eastAsia="Times New Roman" w:cs="Times New Roman"/>
          <w:b/>
          <w:color w:val="17365D"/>
          <w:sz w:val="24"/>
          <w:szCs w:val="24"/>
        </w:rPr>
        <w:t xml:space="preserve">How to cite: </w:t>
      </w:r>
      <w:r>
        <w:rPr>
          <w:rFonts w:ascii="Times New Roman" w:hAnsi="Times New Roman" w:eastAsia="Times New Roman" w:cs="Times New Roman"/>
        </w:rPr>
        <w:t>Ogundiniyi SO, Kumolalo FO, Alegbeleye BJ, Edo-Olotu F, Edo-Olotu E, Pelemo OE, Ajekwu SC,  Persistent Patent Urachus in an Adult, a Case Report at a Private Facility in Ondo City, Nigeria. NJGP. 2023;21(1):52-5</w:t>
      </w:r>
      <w:r>
        <w:rPr>
          <w:rFonts w:hint="default" w:ascii="Times New Roman" w:hAnsi="Times New Roman" w:eastAsia="Times New Roman" w:cs="Times New Roman"/>
          <w:lang w:val="en-US"/>
        </w:rPr>
        <w:t>8</w:t>
      </w:r>
      <w:r>
        <w:rPr>
          <w:rFonts w:ascii="Times New Roman" w:hAnsi="Times New Roman" w:eastAsia="Times New Roman" w:cs="Times New Roman"/>
        </w:rPr>
        <w:t>.</w:t>
      </w:r>
    </w:p>
    <w:p w14:paraId="11A8B907">
      <w:pPr>
        <w:spacing w:line="240" w:lineRule="auto"/>
        <w:jc w:val="both"/>
        <w:rPr>
          <w:rFonts w:ascii="Times New Roman" w:hAnsi="Times New Roman" w:eastAsia="Times New Roman" w:cs="Times New Roman"/>
          <w:lang w:val="fr-FR"/>
        </w:rPr>
      </w:pPr>
      <w:r>
        <w:rPr>
          <w:rFonts w:ascii="Times New Roman" w:hAnsi="Times New Roman" w:eastAsia="Times New Roman" w:cs="Times New Roman"/>
          <w:lang w:val="fr-FR"/>
        </w:rPr>
        <w:t xml:space="preserve">DOI: </w:t>
      </w:r>
      <w:r>
        <w:fldChar w:fldCharType="begin"/>
      </w:r>
      <w:r>
        <w:instrText xml:space="preserve"> HYPERLINK "https://doi.org/10.60787/njgp.v21i1.187" </w:instrText>
      </w:r>
      <w:r>
        <w:fldChar w:fldCharType="separate"/>
      </w:r>
      <w:r>
        <w:rPr>
          <w:rStyle w:val="13"/>
          <w:rFonts w:ascii="Times New Roman" w:hAnsi="Times New Roman" w:eastAsia="Times New Roman" w:cs="Times New Roman"/>
          <w:lang w:val="fr-FR"/>
        </w:rPr>
        <w:t>https://doi.org/10.60787/njgp.v21i1.187</w:t>
      </w:r>
      <w:r>
        <w:rPr>
          <w:rStyle w:val="13"/>
          <w:rFonts w:ascii="Times New Roman" w:hAnsi="Times New Roman" w:eastAsia="Times New Roman" w:cs="Times New Roman"/>
          <w:lang w:val="fr-FR"/>
        </w:rPr>
        <w:fldChar w:fldCharType="end"/>
      </w:r>
      <w:r>
        <w:rPr>
          <w:rFonts w:ascii="Times New Roman" w:hAnsi="Times New Roman" w:eastAsia="Times New Roman" w:cs="Times New Roman"/>
          <w:lang w:val="fr-FR"/>
        </w:rPr>
        <w:t>.</w:t>
      </w:r>
    </w:p>
    <w:p w14:paraId="01925ABF">
      <w:pPr>
        <w:pBdr>
          <w:top w:val="none" w:color="auto" w:sz="0" w:space="0"/>
          <w:left w:val="none" w:color="auto" w:sz="0" w:space="0"/>
          <w:bottom w:val="none" w:color="auto" w:sz="0" w:space="0"/>
          <w:right w:val="none" w:color="auto" w:sz="0" w:space="0"/>
          <w:between w:val="none" w:color="auto" w:sz="0" w:space="0"/>
        </w:pBdr>
        <w:spacing w:after="0" w:line="360" w:lineRule="auto"/>
        <w:rPr>
          <w:rFonts w:ascii="Times New Roman" w:hAnsi="Times New Roman" w:eastAsia="Times New Roman" w:cs="Times New Roman"/>
          <w:color w:val="000000"/>
          <w:sz w:val="2"/>
          <w:szCs w:val="2"/>
          <w:lang w:val="fr-FR"/>
        </w:rPr>
      </w:pPr>
    </w:p>
    <w:p w14:paraId="20B1B9AF">
      <w:pPr>
        <w:pBdr>
          <w:top w:val="none" w:color="auto" w:sz="0" w:space="0"/>
          <w:left w:val="none" w:color="auto" w:sz="0" w:space="0"/>
          <w:bottom w:val="none" w:color="auto" w:sz="0" w:space="0"/>
          <w:right w:val="none" w:color="auto" w:sz="0" w:space="0"/>
          <w:between w:val="none" w:color="auto" w:sz="0" w:space="0"/>
        </w:pBdr>
        <w:spacing w:after="0" w:line="360" w:lineRule="auto"/>
        <w:rPr>
          <w:rFonts w:ascii="Times New Roman" w:hAnsi="Times New Roman" w:eastAsia="Times New Roman" w:cs="Times New Roman"/>
          <w:color w:val="000000"/>
          <w:sz w:val="2"/>
          <w:szCs w:val="2"/>
          <w:lang w:val="fr-FR"/>
        </w:rPr>
      </w:pPr>
    </w:p>
    <w:p w14:paraId="783DB837">
      <w:pPr>
        <w:pBdr>
          <w:top w:val="none" w:color="auto" w:sz="0" w:space="0"/>
          <w:left w:val="none" w:color="auto" w:sz="0" w:space="0"/>
          <w:bottom w:val="none" w:color="auto" w:sz="0" w:space="0"/>
          <w:right w:val="none" w:color="auto" w:sz="0" w:space="0"/>
          <w:between w:val="none" w:color="auto" w:sz="0" w:space="0"/>
        </w:pBdr>
        <w:spacing w:after="0" w:line="240" w:lineRule="auto"/>
        <w:jc w:val="both"/>
      </w:pPr>
      <w:r>
        <w:rPr>
          <w:color w:val="000000"/>
        </w:rPr>
        <w:object>
          <v:shape id="_x0000_i1027" o:spt="75" type="#_x0000_t75" style="height:106.5pt;width:119.25pt;" o:ole="t" filled="f" o:preferrelative="t" stroked="f" coordsize="21600,21600">
            <v:path/>
            <v:fill on="f" focussize="0,0"/>
            <v:stroke on="f" joinstyle="miter"/>
            <v:imagedata r:id="rId12" o:title=""/>
            <o:lock v:ext="edit" aspectratio="t"/>
            <w10:wrap type="none"/>
            <w10:anchorlock/>
          </v:shape>
          <o:OLEObject Type="Embed" ProgID="CorelDraw.Graphic.17" ShapeID="_x0000_i1027" DrawAspect="Content" ObjectID="_1468075726" r:id="rId11">
            <o:LockedField>false</o:LockedField>
          </o:OLEObject>
        </w:object>
      </w:r>
      <w:r>
        <w:br w:type="page"/>
      </w:r>
    </w:p>
    <w:p w14:paraId="023DC028">
      <w:pPr>
        <w:pBdr>
          <w:top w:val="none" w:color="auto" w:sz="0" w:space="0"/>
          <w:left w:val="none" w:color="auto" w:sz="0" w:space="0"/>
          <w:bottom w:val="none" w:color="auto" w:sz="0" w:space="0"/>
          <w:right w:val="none" w:color="auto" w:sz="0" w:space="0"/>
          <w:between w:val="none" w:color="auto" w:sz="0" w:space="0"/>
        </w:pBdr>
        <w:spacing w:after="0" w:line="240" w:lineRule="auto"/>
        <w:jc w:val="both"/>
        <w:rPr>
          <w:rFonts w:ascii="Times New Roman" w:hAnsi="Times New Roman" w:eastAsia="Times New Roman" w:cs="Times New Roman"/>
          <w:b/>
          <w:color w:val="000000"/>
          <w:sz w:val="24"/>
          <w:szCs w:val="24"/>
          <w:vertAlign w:val="superscript"/>
        </w:rPr>
      </w:pPr>
      <w:r>
        <w:rPr>
          <w:rFonts w:ascii="Times New Roman" w:hAnsi="Times New Roman" w:eastAsia="Times New Roman" w:cs="Times New Roman"/>
          <w:b/>
          <w:color w:val="366091"/>
          <w:sz w:val="24"/>
          <w:szCs w:val="24"/>
        </w:rPr>
        <w:t>Introduction</w:t>
      </w:r>
      <w:r>
        <w:rPr>
          <w:rFonts w:ascii="Times New Roman" w:hAnsi="Times New Roman" w:eastAsia="Times New Roman" w:cs="Times New Roman"/>
          <w:color w:val="000000"/>
          <w:sz w:val="24"/>
          <w:szCs w:val="24"/>
        </w:rPr>
        <w:t>:  Congenital urachal anomalies are usually diagnosed and treated in infancy because the umbilical disorder, which manifests as a discharge of urine or pus, is easily detectable. So, an adult patient with a congenital patent urachus is very rare.</w:t>
      </w:r>
      <w:r>
        <w:rPr>
          <w:rFonts w:ascii="Times New Roman" w:hAnsi="Times New Roman" w:eastAsia="Times New Roman" w:cs="Times New Roman"/>
          <w:b/>
          <w:color w:val="000000"/>
          <w:sz w:val="24"/>
          <w:szCs w:val="24"/>
          <w:vertAlign w:val="superscript"/>
        </w:rPr>
        <w:t>1</w:t>
      </w:r>
      <w:r>
        <w:rPr>
          <w:rFonts w:ascii="Times New Roman" w:hAnsi="Times New Roman" w:eastAsia="Times New Roman" w:cs="Times New Roman"/>
          <w:color w:val="000000"/>
          <w:sz w:val="24"/>
          <w:szCs w:val="24"/>
        </w:rPr>
        <w:t xml:space="preserve"> There is no clear etiological explanation for patent urachus.</w:t>
      </w:r>
      <w:r>
        <w:rPr>
          <w:rFonts w:ascii="Times New Roman" w:hAnsi="Times New Roman" w:eastAsia="Times New Roman" w:cs="Times New Roman"/>
          <w:b/>
          <w:color w:val="000000"/>
          <w:sz w:val="24"/>
          <w:szCs w:val="24"/>
          <w:vertAlign w:val="superscript"/>
        </w:rPr>
        <w:t>2,3</w:t>
      </w:r>
      <w:r>
        <w:rPr>
          <w:rFonts w:ascii="Times New Roman" w:hAnsi="Times New Roman" w:eastAsia="Times New Roman" w:cs="Times New Roman"/>
          <w:color w:val="000000"/>
          <w:sz w:val="24"/>
          <w:szCs w:val="24"/>
        </w:rPr>
        <w:t xml:space="preserve"> However, secretion from the epithelial lining or secondary infection of the epithelial structure seems to produce sufficient pressure to open the immature urachus.</w:t>
      </w:r>
      <w:r>
        <w:rPr>
          <w:rFonts w:ascii="Times New Roman" w:hAnsi="Times New Roman" w:eastAsia="Times New Roman" w:cs="Times New Roman"/>
          <w:b/>
          <w:color w:val="000000"/>
          <w:sz w:val="24"/>
          <w:szCs w:val="24"/>
          <w:vertAlign w:val="superscript"/>
        </w:rPr>
        <w:t>2</w:t>
      </w:r>
      <w:r>
        <w:rPr>
          <w:rFonts w:ascii="Times New Roman" w:hAnsi="Times New Roman" w:eastAsia="Times New Roman" w:cs="Times New Roman"/>
          <w:color w:val="000000"/>
          <w:sz w:val="24"/>
          <w:szCs w:val="24"/>
        </w:rPr>
        <w:t xml:space="preserve"> In the adult population, the incidence of urachal anomalies is approximately 1 in 5000.</w:t>
      </w:r>
      <w:r>
        <w:rPr>
          <w:rFonts w:ascii="Times New Roman" w:hAnsi="Times New Roman" w:eastAsia="Times New Roman" w:cs="Times New Roman"/>
          <w:b/>
          <w:color w:val="000000"/>
          <w:sz w:val="24"/>
          <w:szCs w:val="24"/>
          <w:vertAlign w:val="superscript"/>
        </w:rPr>
        <w:t>4</w:t>
      </w:r>
    </w:p>
    <w:p w14:paraId="6BE0AE43">
      <w:pPr>
        <w:pBdr>
          <w:top w:val="none" w:color="auto" w:sz="0" w:space="0"/>
          <w:left w:val="none" w:color="auto" w:sz="0" w:space="0"/>
          <w:bottom w:val="none" w:color="auto" w:sz="0" w:space="0"/>
          <w:right w:val="none" w:color="auto" w:sz="0" w:space="0"/>
          <w:between w:val="none" w:color="auto" w:sz="0" w:space="0"/>
        </w:pBdr>
        <w:spacing w:after="0" w:line="240" w:lineRule="auto"/>
        <w:jc w:val="both"/>
        <w:rPr>
          <w:rFonts w:ascii="Times New Roman" w:hAnsi="Times New Roman" w:eastAsia="Times New Roman" w:cs="Times New Roman"/>
          <w:b/>
          <w:color w:val="000000"/>
          <w:sz w:val="24"/>
          <w:szCs w:val="24"/>
          <w:vertAlign w:val="superscript"/>
        </w:rPr>
      </w:pPr>
    </w:p>
    <w:p w14:paraId="1665B060">
      <w:pPr>
        <w:pBdr>
          <w:top w:val="none" w:color="auto" w:sz="0" w:space="0"/>
          <w:left w:val="none" w:color="auto" w:sz="0" w:space="0"/>
          <w:bottom w:val="none" w:color="auto" w:sz="0" w:space="0"/>
          <w:right w:val="none" w:color="auto" w:sz="0" w:space="0"/>
          <w:between w:val="none" w:color="auto" w:sz="0" w:space="0"/>
        </w:pBdr>
        <w:spacing w:after="0" w:line="240" w:lineRule="auto"/>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 xml:space="preserve">Urinary discharge from the umbilicus in an adult could be very embarrassing. This underscores the need for treatment when diagnosed. There is also the possibility of malignancy developing in urachal remnants, although this is a rare occurrence. We present a rare case of a 22-year-old female with patent urachus. </w:t>
      </w:r>
    </w:p>
    <w:p w14:paraId="58400667">
      <w:pPr>
        <w:pBdr>
          <w:top w:val="none" w:color="auto" w:sz="0" w:space="0"/>
          <w:left w:val="none" w:color="auto" w:sz="0" w:space="0"/>
          <w:bottom w:val="none" w:color="auto" w:sz="0" w:space="0"/>
          <w:right w:val="none" w:color="auto" w:sz="0" w:space="0"/>
          <w:between w:val="none" w:color="auto" w:sz="0" w:space="0"/>
        </w:pBdr>
        <w:spacing w:after="0" w:line="240" w:lineRule="auto"/>
        <w:jc w:val="both"/>
        <w:rPr>
          <w:rFonts w:ascii="Times New Roman" w:hAnsi="Times New Roman" w:eastAsia="Times New Roman" w:cs="Times New Roman"/>
          <w:color w:val="000000"/>
          <w:sz w:val="24"/>
          <w:szCs w:val="24"/>
        </w:rPr>
      </w:pPr>
    </w:p>
    <w:p w14:paraId="08BF2064">
      <w:pPr>
        <w:pBdr>
          <w:top w:val="none" w:color="auto" w:sz="0" w:space="0"/>
          <w:left w:val="none" w:color="auto" w:sz="0" w:space="0"/>
          <w:bottom w:val="none" w:color="auto" w:sz="0" w:space="0"/>
          <w:right w:val="none" w:color="auto" w:sz="0" w:space="0"/>
          <w:between w:val="none" w:color="auto" w:sz="0" w:space="0"/>
        </w:pBdr>
        <w:spacing w:after="0" w:line="240" w:lineRule="auto"/>
        <w:jc w:val="both"/>
        <w:rPr>
          <w:rFonts w:ascii="Times New Roman" w:hAnsi="Times New Roman" w:eastAsia="Times New Roman" w:cs="Times New Roman"/>
          <w:b/>
          <w:color w:val="366091"/>
          <w:sz w:val="24"/>
          <w:szCs w:val="24"/>
        </w:rPr>
      </w:pPr>
      <w:r>
        <w:rPr>
          <w:rFonts w:ascii="Times New Roman" w:hAnsi="Times New Roman" w:eastAsia="Times New Roman" w:cs="Times New Roman"/>
          <w:b/>
          <w:color w:val="366091"/>
          <w:sz w:val="24"/>
          <w:szCs w:val="24"/>
        </w:rPr>
        <w:t>Case Report:</w:t>
      </w:r>
    </w:p>
    <w:p w14:paraId="4F7D4359">
      <w:pPr>
        <w:pBdr>
          <w:top w:val="none" w:color="auto" w:sz="0" w:space="0"/>
          <w:left w:val="none" w:color="auto" w:sz="0" w:space="0"/>
          <w:bottom w:val="none" w:color="auto" w:sz="0" w:space="0"/>
          <w:right w:val="none" w:color="auto" w:sz="0" w:space="0"/>
          <w:between w:val="none" w:color="auto" w:sz="0" w:space="0"/>
        </w:pBdr>
        <w:spacing w:after="0" w:line="240" w:lineRule="auto"/>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We present the case of a 22-year-old lady in Ondo city, who presented to her primary care physician with complaints of persistent urinary discharge from her navel. This occurred whenever she had a full bladder and was aggravated by the very act of micturition. She noticed this since childhood and had been too shy to complain about it to any doctor. There were no lower urinary tract symptoms, and no associated abdominal pain. Examination revealed an inverted umbilicus with wetness upon a full bladder. Abdominopelvic ultrasound was done, which suggested a patent urachus. A micturating cytogram was also done which confirmed the ultrasound finding. The micturating cystogram had however been misplaced by the patient as at the time of filing this report.  Attempts at retrieving a certified true copy of the Cystogram were unsuccessful.  A cystoscopy was not done as this was not available at the private facility and for financial considerations, patient was not requested to carry out the investigation elsewhere. The lady had an open resection of the urachus with partial cystectomy. The urachus was a complete tubular fistula between the dome of the bladder and the umbilicus. The bladder was approached through a Pfannenstiel incision. The patent urachus was identified and excised with a cuff of bladder dome. Urethral catheter was left in situ for continuous bladder drainage for ten days.  Recovery was uneventful and patient subsequently became asymptomatic thereafter. Histology of resected urachus and bladder cuff showed the  urachus and bladder were lined with stratified columnar epithelium / urothelium, there were no areas of cellular atypia. Fig 1,2 and 3.</w:t>
      </w:r>
    </w:p>
    <w:p w14:paraId="59E4FCE7">
      <w:pPr>
        <w:jc w:val="both"/>
        <w:rPr>
          <w:rFonts w:ascii="Times New Roman" w:hAnsi="Times New Roman" w:eastAsia="Times New Roman" w:cs="Times New Roman"/>
          <w:sz w:val="24"/>
          <w:szCs w:val="24"/>
        </w:rPr>
      </w:pPr>
      <w:r>
        <w:rPr>
          <w:rFonts w:ascii="Times New Roman" w:hAnsi="Times New Roman" w:eastAsia="Times New Roman" w:cs="Times New Roman"/>
          <w:sz w:val="24"/>
          <w:szCs w:val="24"/>
          <w:lang w:eastAsia="en-US"/>
        </w:rPr>
        <w:drawing>
          <wp:inline distT="0" distB="0" distL="0" distR="0">
            <wp:extent cx="5274310" cy="7030720"/>
            <wp:effectExtent l="0" t="0" r="0" b="0"/>
            <wp:docPr id="2" name="image4.png"/>
            <wp:cNvGraphicFramePr/>
            <a:graphic xmlns:a="http://schemas.openxmlformats.org/drawingml/2006/main">
              <a:graphicData uri="http://schemas.openxmlformats.org/drawingml/2006/picture">
                <pic:pic xmlns:pic="http://schemas.openxmlformats.org/drawingml/2006/picture">
                  <pic:nvPicPr>
                    <pic:cNvPr id="2" name="image4.png"/>
                    <pic:cNvPicPr preferRelativeResize="0"/>
                  </pic:nvPicPr>
                  <pic:blipFill>
                    <a:blip r:embed="rId13"/>
                    <a:srcRect/>
                    <a:stretch>
                      <a:fillRect/>
                    </a:stretch>
                  </pic:blipFill>
                  <pic:spPr>
                    <a:xfrm>
                      <a:off x="0" y="0"/>
                      <a:ext cx="5274310" cy="7031286"/>
                    </a:xfrm>
                    <a:prstGeom prst="rect">
                      <a:avLst/>
                    </a:prstGeom>
                  </pic:spPr>
                </pic:pic>
              </a:graphicData>
            </a:graphic>
          </wp:inline>
        </w:drawing>
      </w:r>
    </w:p>
    <w:p w14:paraId="4A36C937">
      <w:pPr>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Fig. 1:The intact urachus pulling on the umbilicus. </w:t>
      </w:r>
    </w:p>
    <w:p w14:paraId="5887390E">
      <w:pPr>
        <w:jc w:val="both"/>
        <w:rPr>
          <w:rFonts w:ascii="Times New Roman" w:hAnsi="Times New Roman" w:eastAsia="Times New Roman" w:cs="Times New Roman"/>
          <w:sz w:val="24"/>
          <w:szCs w:val="24"/>
        </w:rPr>
      </w:pPr>
      <w:r>
        <w:rPr>
          <w:rFonts w:ascii="Times New Roman" w:hAnsi="Times New Roman" w:eastAsia="Times New Roman" w:cs="Times New Roman"/>
          <w:sz w:val="24"/>
          <w:szCs w:val="24"/>
          <w:lang w:eastAsia="en-US"/>
        </w:rPr>
        <w:drawing>
          <wp:inline distT="0" distB="0" distL="0" distR="0">
            <wp:extent cx="5274310" cy="7030720"/>
            <wp:effectExtent l="0" t="0" r="0" b="0"/>
            <wp:docPr id="1" name="image2.png"/>
            <wp:cNvGraphicFramePr/>
            <a:graphic xmlns:a="http://schemas.openxmlformats.org/drawingml/2006/main">
              <a:graphicData uri="http://schemas.openxmlformats.org/drawingml/2006/picture">
                <pic:pic xmlns:pic="http://schemas.openxmlformats.org/drawingml/2006/picture">
                  <pic:nvPicPr>
                    <pic:cNvPr id="1" name="image2.png"/>
                    <pic:cNvPicPr preferRelativeResize="0"/>
                  </pic:nvPicPr>
                  <pic:blipFill>
                    <a:blip r:embed="rId14"/>
                    <a:srcRect/>
                    <a:stretch>
                      <a:fillRect/>
                    </a:stretch>
                  </pic:blipFill>
                  <pic:spPr>
                    <a:xfrm>
                      <a:off x="0" y="0"/>
                      <a:ext cx="5274310" cy="7031286"/>
                    </a:xfrm>
                    <a:prstGeom prst="rect">
                      <a:avLst/>
                    </a:prstGeom>
                  </pic:spPr>
                </pic:pic>
              </a:graphicData>
            </a:graphic>
          </wp:inline>
        </w:drawing>
      </w:r>
    </w:p>
    <w:p w14:paraId="63205DA0">
      <w:pPr>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Fig. 2:The urachus severed from the umbilicus.</w:t>
      </w:r>
    </w:p>
    <w:p w14:paraId="47D0A1F6">
      <w:pPr>
        <w:jc w:val="both"/>
        <w:rPr>
          <w:rFonts w:ascii="Times New Roman" w:hAnsi="Times New Roman" w:eastAsia="Times New Roman" w:cs="Times New Roman"/>
          <w:sz w:val="24"/>
          <w:szCs w:val="24"/>
        </w:rPr>
      </w:pPr>
    </w:p>
    <w:p w14:paraId="139241DD">
      <w:pPr>
        <w:jc w:val="both"/>
        <w:rPr>
          <w:rFonts w:ascii="Times New Roman" w:hAnsi="Times New Roman" w:eastAsia="Times New Roman" w:cs="Times New Roman"/>
          <w:sz w:val="24"/>
          <w:szCs w:val="24"/>
        </w:rPr>
      </w:pPr>
    </w:p>
    <w:p w14:paraId="476D2280">
      <w:pPr>
        <w:jc w:val="both"/>
        <w:rPr>
          <w:rFonts w:ascii="Times New Roman" w:hAnsi="Times New Roman" w:eastAsia="Times New Roman" w:cs="Times New Roman"/>
          <w:sz w:val="24"/>
          <w:szCs w:val="24"/>
        </w:rPr>
      </w:pPr>
    </w:p>
    <w:p w14:paraId="3072A1F3">
      <w:pPr>
        <w:jc w:val="both"/>
        <w:rPr>
          <w:rFonts w:ascii="Times New Roman" w:hAnsi="Times New Roman" w:eastAsia="Times New Roman" w:cs="Times New Roman"/>
          <w:sz w:val="24"/>
          <w:szCs w:val="24"/>
        </w:rPr>
      </w:pPr>
    </w:p>
    <w:p w14:paraId="1AA8F8E6">
      <w:pPr>
        <w:jc w:val="both"/>
        <w:rPr>
          <w:rFonts w:ascii="Times New Roman" w:hAnsi="Times New Roman" w:eastAsia="Times New Roman" w:cs="Times New Roman"/>
          <w:sz w:val="24"/>
          <w:szCs w:val="24"/>
        </w:rPr>
      </w:pPr>
      <w:r>
        <w:rPr>
          <w:rFonts w:ascii="Times New Roman" w:hAnsi="Times New Roman" w:eastAsia="Times New Roman" w:cs="Times New Roman"/>
          <w:sz w:val="24"/>
          <w:szCs w:val="24"/>
          <w:lang w:eastAsia="en-US"/>
        </w:rPr>
        <w:drawing>
          <wp:inline distT="0" distB="0" distL="0" distR="0">
            <wp:extent cx="4210050" cy="4018915"/>
            <wp:effectExtent l="0" t="0" r="0" b="0"/>
            <wp:docPr id="4" name="image6.png"/>
            <wp:cNvGraphicFramePr/>
            <a:graphic xmlns:a="http://schemas.openxmlformats.org/drawingml/2006/main">
              <a:graphicData uri="http://schemas.openxmlformats.org/drawingml/2006/picture">
                <pic:pic xmlns:pic="http://schemas.openxmlformats.org/drawingml/2006/picture">
                  <pic:nvPicPr>
                    <pic:cNvPr id="4" name="image6.png"/>
                    <pic:cNvPicPr preferRelativeResize="0"/>
                  </pic:nvPicPr>
                  <pic:blipFill>
                    <a:blip r:embed="rId15"/>
                    <a:srcRect/>
                    <a:stretch>
                      <a:fillRect/>
                    </a:stretch>
                  </pic:blipFill>
                  <pic:spPr>
                    <a:xfrm>
                      <a:off x="0" y="0"/>
                      <a:ext cx="4210161" cy="4019224"/>
                    </a:xfrm>
                    <a:prstGeom prst="rect">
                      <a:avLst/>
                    </a:prstGeom>
                  </pic:spPr>
                </pic:pic>
              </a:graphicData>
            </a:graphic>
          </wp:inline>
        </w:drawing>
      </w:r>
    </w:p>
    <w:p w14:paraId="4BBD65DA">
      <w:pPr>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Fig.3: The bladder following partial cystectomy with urachus excised.</w:t>
      </w:r>
    </w:p>
    <w:p w14:paraId="165E5EAD">
      <w:pPr>
        <w:spacing w:line="240" w:lineRule="auto"/>
        <w:jc w:val="both"/>
        <w:rPr>
          <w:rFonts w:ascii="Times New Roman" w:hAnsi="Times New Roman" w:eastAsia="Times New Roman" w:cs="Times New Roman"/>
          <w:sz w:val="24"/>
          <w:szCs w:val="24"/>
        </w:rPr>
      </w:pPr>
      <w:r>
        <w:rPr>
          <w:rFonts w:ascii="Times New Roman" w:hAnsi="Times New Roman" w:eastAsia="Times New Roman" w:cs="Times New Roman"/>
          <w:b/>
          <w:color w:val="366091"/>
          <w:sz w:val="24"/>
          <w:szCs w:val="24"/>
        </w:rPr>
        <w:t>Discussion</w:t>
      </w:r>
      <w:r>
        <w:rPr>
          <w:rFonts w:ascii="Times New Roman" w:hAnsi="Times New Roman" w:eastAsia="Times New Roman" w:cs="Times New Roman"/>
          <w:sz w:val="24"/>
          <w:szCs w:val="24"/>
        </w:rPr>
        <w:t>: The urachus is a fibrous cord arising from the early fetal anterior bladder wall to the allantois, extending cranially to the umbilicus. It undergoes many developmental changes during embryonic life and finally descends along with the bladder in the pelvis. This descent stretches the urachus leading to the obliteration of its lumen and the formation of a fibrous band known as the median umbilical ligament.</w:t>
      </w:r>
      <w:r>
        <w:rPr>
          <w:rFonts w:ascii="Times New Roman" w:hAnsi="Times New Roman" w:eastAsia="Times New Roman" w:cs="Times New Roman"/>
          <w:b/>
          <w:sz w:val="24"/>
          <w:szCs w:val="24"/>
          <w:vertAlign w:val="superscript"/>
        </w:rPr>
        <w:t>5</w:t>
      </w:r>
      <w:r>
        <w:rPr>
          <w:rFonts w:ascii="Times New Roman" w:hAnsi="Times New Roman" w:eastAsia="Times New Roman" w:cs="Times New Roman"/>
          <w:sz w:val="24"/>
          <w:szCs w:val="24"/>
        </w:rPr>
        <w:t xml:space="preserve">It is the failure of obliteration of this, that leads to the formation of the various urachal anomalies. </w:t>
      </w:r>
    </w:p>
    <w:p w14:paraId="00634E76">
      <w:pPr>
        <w:spacing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Urachal anomalies are divided into 2 groups: congenital and acquired. Patent urachus is usually congenital.</w:t>
      </w:r>
      <w:r>
        <w:rPr>
          <w:rFonts w:ascii="Times New Roman" w:hAnsi="Times New Roman" w:eastAsia="Times New Roman" w:cs="Times New Roman"/>
          <w:b/>
          <w:sz w:val="24"/>
          <w:szCs w:val="24"/>
          <w:vertAlign w:val="superscript"/>
        </w:rPr>
        <w:t>6</w:t>
      </w:r>
      <w:r>
        <w:rPr>
          <w:rFonts w:ascii="Times New Roman" w:hAnsi="Times New Roman" w:eastAsia="Times New Roman" w:cs="Times New Roman"/>
          <w:sz w:val="24"/>
          <w:szCs w:val="24"/>
        </w:rPr>
        <w:t xml:space="preserve"> Patent urachus is usually detected at birth or in infancy, therefore congenital patent urachus in an adult (more than 20 years old) is very rare.</w:t>
      </w:r>
      <w:r>
        <w:rPr>
          <w:rFonts w:ascii="Times New Roman" w:hAnsi="Times New Roman" w:eastAsia="Times New Roman" w:cs="Times New Roman"/>
          <w:b/>
          <w:sz w:val="24"/>
          <w:szCs w:val="24"/>
          <w:vertAlign w:val="superscript"/>
        </w:rPr>
        <w:t>7,8</w:t>
      </w:r>
      <w:r>
        <w:rPr>
          <w:rFonts w:ascii="Times New Roman" w:hAnsi="Times New Roman" w:eastAsia="Times New Roman" w:cs="Times New Roman"/>
          <w:sz w:val="24"/>
          <w:szCs w:val="24"/>
        </w:rPr>
        <w:t xml:space="preserve"> The persistence of the urachus was first described and treated in 1550 by Cabrolius as mentioned by Begg.</w:t>
      </w:r>
      <w:r>
        <w:rPr>
          <w:rFonts w:ascii="Times New Roman" w:hAnsi="Times New Roman" w:eastAsia="Times New Roman" w:cs="Times New Roman"/>
          <w:b/>
          <w:sz w:val="24"/>
          <w:szCs w:val="24"/>
          <w:vertAlign w:val="superscript"/>
        </w:rPr>
        <w:t>9</w:t>
      </w:r>
      <w:r>
        <w:rPr>
          <w:rFonts w:ascii="Times New Roman" w:hAnsi="Times New Roman" w:eastAsia="Times New Roman" w:cs="Times New Roman"/>
          <w:sz w:val="24"/>
          <w:szCs w:val="24"/>
        </w:rPr>
        <w:t xml:space="preserve"> Collectively, the urachus is formed by remnants of the cloaca and the allantois and so their remnants are formed due to incomplete regression of the intra-embryonic connection between them.</w:t>
      </w:r>
      <w:r>
        <w:rPr>
          <w:rFonts w:ascii="Times New Roman" w:hAnsi="Times New Roman" w:eastAsia="Times New Roman" w:cs="Times New Roman"/>
          <w:b/>
          <w:sz w:val="24"/>
          <w:szCs w:val="24"/>
          <w:vertAlign w:val="superscript"/>
        </w:rPr>
        <w:t>10,11</w:t>
      </w:r>
      <w:r>
        <w:rPr>
          <w:rFonts w:ascii="Times New Roman" w:hAnsi="Times New Roman" w:eastAsia="Times New Roman" w:cs="Times New Roman"/>
          <w:sz w:val="24"/>
          <w:szCs w:val="24"/>
        </w:rPr>
        <w:t>Congenital causes of urachal anomalies  can be further subdivided into: patent urachus, umbilical-urachal sinus, vesicourachal diverticulum, urachal cyst, and alternating sinus.</w:t>
      </w:r>
      <w:r>
        <w:rPr>
          <w:rFonts w:ascii="Times New Roman" w:hAnsi="Times New Roman" w:eastAsia="Times New Roman" w:cs="Times New Roman"/>
          <w:b/>
          <w:sz w:val="24"/>
          <w:szCs w:val="24"/>
          <w:vertAlign w:val="superscript"/>
        </w:rPr>
        <w:t>12</w:t>
      </w:r>
      <w:r>
        <w:rPr>
          <w:rFonts w:ascii="Times New Roman" w:hAnsi="Times New Roman" w:eastAsia="Times New Roman" w:cs="Times New Roman"/>
          <w:sz w:val="24"/>
          <w:szCs w:val="24"/>
        </w:rPr>
        <w:t>Acquired urachal remnant diseases are classified into two groups: infections and neoplasms.</w:t>
      </w:r>
      <w:r>
        <w:rPr>
          <w:rFonts w:ascii="Times New Roman" w:hAnsi="Times New Roman" w:eastAsia="Times New Roman" w:cs="Times New Roman"/>
          <w:b/>
          <w:sz w:val="24"/>
          <w:szCs w:val="24"/>
          <w:vertAlign w:val="superscript"/>
        </w:rPr>
        <w:t>13</w:t>
      </w:r>
      <w:r>
        <w:rPr>
          <w:rFonts w:ascii="Times New Roman" w:hAnsi="Times New Roman" w:eastAsia="Times New Roman" w:cs="Times New Roman"/>
          <w:sz w:val="24"/>
          <w:szCs w:val="24"/>
        </w:rPr>
        <w:t xml:space="preserve"> Among the congenital urachal anomalies, except patent urachus, the remaining four anomalies may close at birth but can reopen after pathological conditions and therefore may be classified as acquired urachal remnant diseases.</w:t>
      </w:r>
      <w:r>
        <w:rPr>
          <w:rFonts w:ascii="Times New Roman" w:hAnsi="Times New Roman" w:eastAsia="Times New Roman" w:cs="Times New Roman"/>
          <w:b/>
          <w:sz w:val="24"/>
          <w:szCs w:val="24"/>
          <w:vertAlign w:val="superscript"/>
        </w:rPr>
        <w:t>14</w:t>
      </w:r>
      <w:r>
        <w:rPr>
          <w:rFonts w:ascii="Times New Roman" w:hAnsi="Times New Roman" w:eastAsia="Times New Roman" w:cs="Times New Roman"/>
          <w:sz w:val="24"/>
          <w:szCs w:val="24"/>
        </w:rPr>
        <w:t xml:space="preserve"> The incidence of patent urachus is 3 in 1,000,000 live births and is even rare in adults.</w:t>
      </w:r>
      <w:r>
        <w:rPr>
          <w:rFonts w:ascii="Times New Roman" w:hAnsi="Times New Roman" w:eastAsia="Times New Roman" w:cs="Times New Roman"/>
          <w:b/>
          <w:sz w:val="24"/>
          <w:szCs w:val="24"/>
          <w:vertAlign w:val="superscript"/>
        </w:rPr>
        <w:t>15</w:t>
      </w:r>
      <w:r>
        <w:rPr>
          <w:rFonts w:ascii="Times New Roman" w:hAnsi="Times New Roman" w:eastAsia="Times New Roman" w:cs="Times New Roman"/>
          <w:sz w:val="24"/>
          <w:szCs w:val="24"/>
        </w:rPr>
        <w:t xml:space="preserve"> Patent urachus is commoner in males.</w:t>
      </w:r>
      <w:r>
        <w:rPr>
          <w:rFonts w:ascii="Times New Roman" w:hAnsi="Times New Roman" w:eastAsia="Times New Roman" w:cs="Times New Roman"/>
          <w:b/>
          <w:sz w:val="24"/>
          <w:szCs w:val="24"/>
          <w:vertAlign w:val="superscript"/>
        </w:rPr>
        <w:t>16</w:t>
      </w:r>
      <w:r>
        <w:rPr>
          <w:rFonts w:ascii="Times New Roman" w:hAnsi="Times New Roman" w:eastAsia="Times New Roman" w:cs="Times New Roman"/>
          <w:sz w:val="24"/>
          <w:szCs w:val="24"/>
        </w:rPr>
        <w:t xml:space="preserve"> Recurrent acute urinary retention due to Benign Prostatic Hyperplasia could lead to the development of a leaking urachal fistula in men.</w:t>
      </w:r>
      <w:r>
        <w:rPr>
          <w:rFonts w:ascii="Times New Roman" w:hAnsi="Times New Roman" w:eastAsia="Times New Roman" w:cs="Times New Roman"/>
          <w:b/>
          <w:sz w:val="24"/>
          <w:szCs w:val="24"/>
          <w:vertAlign w:val="superscript"/>
        </w:rPr>
        <w:t>17</w:t>
      </w:r>
    </w:p>
    <w:p w14:paraId="689A1CA9">
      <w:pPr>
        <w:spacing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Our patient is not only an adult, she is also a female. Mostly the patient presents with umbilical discharge and its complications like infection, urinary tract infection, umbilical cellulitis, intraperitoneal rupture, bowel fistulae, bleeding and most severe the neoplastic lesions due to chronic inflammation. Therefore, patent urachus is often misdiagnosed as appendicitis, Meckel’s diverticulitis, urinary tract infection, pelvic inflammatory disease, and bladder carcinoma.</w:t>
      </w:r>
      <w:r>
        <w:rPr>
          <w:rFonts w:ascii="Times New Roman" w:hAnsi="Times New Roman" w:eastAsia="Times New Roman" w:cs="Times New Roman"/>
          <w:b/>
          <w:sz w:val="24"/>
          <w:szCs w:val="24"/>
          <w:vertAlign w:val="superscript"/>
        </w:rPr>
        <w:t>18</w:t>
      </w:r>
    </w:p>
    <w:p w14:paraId="466CC460">
      <w:pPr>
        <w:spacing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Our patient presented with  umbilical wetness upon straining to urinate. Physical examination revealed nothing other than wetness upon straining with a full bladder. There were no areas of induration.</w:t>
      </w:r>
    </w:p>
    <w:p w14:paraId="6680FB9F">
      <w:pPr>
        <w:spacing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Investigations for patent urachus include abdominopelvic ultrasound and micturating cystourethrogram.</w:t>
      </w:r>
      <w:r>
        <w:rPr>
          <w:rFonts w:ascii="Times New Roman" w:hAnsi="Times New Roman" w:eastAsia="Times New Roman" w:cs="Times New Roman"/>
          <w:b/>
          <w:sz w:val="24"/>
          <w:szCs w:val="24"/>
          <w:vertAlign w:val="superscript"/>
        </w:rPr>
        <w:t>19</w:t>
      </w:r>
      <w:r>
        <w:rPr>
          <w:rFonts w:ascii="Times New Roman" w:hAnsi="Times New Roman" w:eastAsia="Times New Roman" w:cs="Times New Roman"/>
          <w:sz w:val="24"/>
          <w:szCs w:val="24"/>
        </w:rPr>
        <w:t xml:space="preserve"> The indigo carmine dye discharge test and fistulography are diagnostic of patent urachus.</w:t>
      </w:r>
      <w:r>
        <w:rPr>
          <w:rFonts w:ascii="Times New Roman" w:hAnsi="Times New Roman" w:eastAsia="Times New Roman" w:cs="Times New Roman"/>
          <w:b/>
          <w:sz w:val="24"/>
          <w:szCs w:val="24"/>
          <w:vertAlign w:val="superscript"/>
        </w:rPr>
        <w:t>7,20</w:t>
      </w:r>
      <w:r>
        <w:rPr>
          <w:rFonts w:ascii="Times New Roman" w:hAnsi="Times New Roman" w:eastAsia="Times New Roman" w:cs="Times New Roman"/>
          <w:sz w:val="24"/>
          <w:szCs w:val="24"/>
        </w:rPr>
        <w:t xml:space="preserve"> Computed tomography scan remains the investigation of choice for suspected cases while longitudinal ultrasound, indigocarmine dye discharge test or fistulography are other means to diagnose the disease.</w:t>
      </w:r>
      <w:r>
        <w:rPr>
          <w:rFonts w:ascii="Times New Roman" w:hAnsi="Times New Roman" w:eastAsia="Times New Roman" w:cs="Times New Roman"/>
          <w:b/>
          <w:sz w:val="24"/>
          <w:szCs w:val="24"/>
          <w:vertAlign w:val="superscript"/>
        </w:rPr>
        <w:t>21</w:t>
      </w:r>
      <w:r>
        <w:rPr>
          <w:rFonts w:ascii="Times New Roman" w:hAnsi="Times New Roman" w:eastAsia="Times New Roman" w:cs="Times New Roman"/>
          <w:sz w:val="24"/>
          <w:szCs w:val="24"/>
        </w:rPr>
        <w:t xml:space="preserve"> In our case, a micturating cystourethrogram was done which demonstrated a fistulous tract between the bladder dome and the umbilicus, however, the patient had misplaced the film as at the time of writing this report. </w:t>
      </w:r>
    </w:p>
    <w:p w14:paraId="2174496C">
      <w:pPr>
        <w:spacing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The treatment is urachal resection and partial cystectomy. We believe that surgery is necessary in the case of patent urachus in an adult especially because of the risk of the urachal cancer.</w:t>
      </w:r>
      <w:r>
        <w:rPr>
          <w:rFonts w:ascii="Times New Roman" w:hAnsi="Times New Roman" w:eastAsia="Times New Roman" w:cs="Times New Roman"/>
          <w:b/>
          <w:sz w:val="24"/>
          <w:szCs w:val="24"/>
          <w:vertAlign w:val="superscript"/>
        </w:rPr>
        <w:t>2</w:t>
      </w:r>
      <w:r>
        <w:rPr>
          <w:rFonts w:ascii="Times New Roman" w:hAnsi="Times New Roman" w:eastAsia="Times New Roman" w:cs="Times New Roman"/>
          <w:sz w:val="24"/>
          <w:szCs w:val="24"/>
        </w:rPr>
        <w:t xml:space="preserve"> Our patient had resection of the urachus with a cuff of bladder dome. The bladder defect was closed. A urethral catheter was left in situ for ten days. The post operative period was uneventful and patient subsequently stopped experiencing wetness at her navel. The resected urachus and bladder cuff were sent for histopathological examination. Fig. 4.</w:t>
      </w:r>
    </w:p>
    <w:p w14:paraId="2D1619BE">
      <w:pPr>
        <w:spacing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lang w:eastAsia="en-US"/>
        </w:rPr>
        <w:drawing>
          <wp:inline distT="0" distB="0" distL="0" distR="0">
            <wp:extent cx="3917950" cy="2792730"/>
            <wp:effectExtent l="0" t="0" r="0" b="0"/>
            <wp:docPr id="3" name="image5.png"/>
            <wp:cNvGraphicFramePr/>
            <a:graphic xmlns:a="http://schemas.openxmlformats.org/drawingml/2006/main">
              <a:graphicData uri="http://schemas.openxmlformats.org/drawingml/2006/picture">
                <pic:pic xmlns:pic="http://schemas.openxmlformats.org/drawingml/2006/picture">
                  <pic:nvPicPr>
                    <pic:cNvPr id="3" name="image5.png"/>
                    <pic:cNvPicPr preferRelativeResize="0"/>
                  </pic:nvPicPr>
                  <pic:blipFill>
                    <a:blip r:embed="rId16"/>
                    <a:srcRect/>
                    <a:stretch>
                      <a:fillRect/>
                    </a:stretch>
                  </pic:blipFill>
                  <pic:spPr>
                    <a:xfrm>
                      <a:off x="0" y="0"/>
                      <a:ext cx="3917963" cy="2793097"/>
                    </a:xfrm>
                    <a:prstGeom prst="rect">
                      <a:avLst/>
                    </a:prstGeom>
                  </pic:spPr>
                </pic:pic>
              </a:graphicData>
            </a:graphic>
          </wp:inline>
        </w:drawing>
      </w:r>
    </w:p>
    <w:p w14:paraId="5BE3B8CE">
      <w:pPr>
        <w:spacing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Fig. 4: Histologic  section of the bladder showing the urachus.</w:t>
      </w:r>
    </w:p>
    <w:p w14:paraId="1667871D">
      <w:pPr>
        <w:spacing w:line="240" w:lineRule="auto"/>
        <w:jc w:val="both"/>
        <w:rPr>
          <w:rFonts w:ascii="Times New Roman" w:hAnsi="Times New Roman" w:eastAsia="Times New Roman" w:cs="Times New Roman"/>
          <w:b/>
          <w:color w:val="366091"/>
          <w:sz w:val="24"/>
          <w:szCs w:val="24"/>
        </w:rPr>
      </w:pPr>
      <w:r>
        <w:rPr>
          <w:rFonts w:ascii="Times New Roman" w:hAnsi="Times New Roman" w:eastAsia="Times New Roman" w:cs="Times New Roman"/>
          <w:sz w:val="24"/>
          <w:szCs w:val="24"/>
        </w:rPr>
        <w:t>The epithelium is stratified columnar epithelium and urothelium. No areas of cellular atypia or malignancy.</w:t>
      </w:r>
    </w:p>
    <w:p w14:paraId="77F87AAA">
      <w:pPr>
        <w:pBdr>
          <w:top w:val="none" w:color="auto" w:sz="0" w:space="0"/>
          <w:left w:val="none" w:color="auto" w:sz="0" w:space="0"/>
          <w:bottom w:val="none" w:color="auto" w:sz="0" w:space="0"/>
          <w:right w:val="none" w:color="auto" w:sz="0" w:space="0"/>
          <w:between w:val="none" w:color="auto" w:sz="0" w:space="0"/>
        </w:pBdr>
        <w:spacing w:after="0" w:line="240" w:lineRule="auto"/>
        <w:jc w:val="both"/>
        <w:rPr>
          <w:rFonts w:ascii="Times New Roman" w:hAnsi="Times New Roman" w:eastAsia="Times New Roman" w:cs="Times New Roman"/>
          <w:color w:val="000000"/>
          <w:sz w:val="24"/>
          <w:szCs w:val="24"/>
        </w:rPr>
      </w:pPr>
      <w:r>
        <w:rPr>
          <w:rFonts w:ascii="Times New Roman" w:hAnsi="Times New Roman" w:eastAsia="Times New Roman" w:cs="Times New Roman"/>
          <w:b/>
          <w:color w:val="366091"/>
          <w:sz w:val="24"/>
          <w:szCs w:val="24"/>
        </w:rPr>
        <w:t xml:space="preserve">Conclusion: </w:t>
      </w:r>
      <w:r>
        <w:rPr>
          <w:rFonts w:ascii="Times New Roman" w:hAnsi="Times New Roman" w:eastAsia="Times New Roman" w:cs="Times New Roman"/>
          <w:color w:val="000000"/>
          <w:sz w:val="24"/>
          <w:szCs w:val="24"/>
        </w:rPr>
        <w:t xml:space="preserve">Congenital patent urachus in adults is very rare. A combination of its rarity, nonspecific presentations and reluctance of adult patients to present due to shyness makes diagnosis further delayed. </w:t>
      </w:r>
    </w:p>
    <w:p w14:paraId="4A19865F">
      <w:pPr>
        <w:spacing w:line="240" w:lineRule="auto"/>
        <w:jc w:val="both"/>
        <w:rPr>
          <w:rFonts w:ascii="Times New Roman" w:hAnsi="Times New Roman" w:eastAsia="Times New Roman" w:cs="Times New Roman"/>
          <w:b/>
          <w:color w:val="366091"/>
          <w:sz w:val="24"/>
          <w:szCs w:val="24"/>
        </w:rPr>
      </w:pPr>
      <w:r>
        <w:rPr>
          <w:rFonts w:ascii="Times New Roman" w:hAnsi="Times New Roman" w:eastAsia="Times New Roman" w:cs="Times New Roman"/>
          <w:sz w:val="24"/>
          <w:szCs w:val="24"/>
        </w:rPr>
        <w:t>A high index of suspicion is necessary in order to make early diagnosis and institute treatment to avoid complications ranging from repeated infections to malignant transformation.</w:t>
      </w:r>
      <w:r>
        <w:rPr>
          <w:rFonts w:ascii="Times New Roman" w:hAnsi="Times New Roman" w:eastAsia="Times New Roman" w:cs="Times New Roman"/>
          <w:b/>
          <w:color w:val="366091"/>
          <w:sz w:val="24"/>
          <w:szCs w:val="24"/>
        </w:rPr>
        <w:br w:type="page"/>
      </w:r>
    </w:p>
    <w:p w14:paraId="14D249B6">
      <w:pPr>
        <w:pBdr>
          <w:top w:val="none" w:color="auto" w:sz="0" w:space="0"/>
          <w:left w:val="none" w:color="auto" w:sz="0" w:space="0"/>
          <w:bottom w:val="none" w:color="auto" w:sz="0" w:space="0"/>
          <w:right w:val="none" w:color="auto" w:sz="0" w:space="0"/>
          <w:between w:val="none" w:color="auto" w:sz="0" w:space="0"/>
        </w:pBd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b/>
          <w:color w:val="366091"/>
          <w:sz w:val="24"/>
          <w:szCs w:val="24"/>
        </w:rPr>
        <w:t>References</w:t>
      </w:r>
      <w:r>
        <w:rPr>
          <w:rFonts w:ascii="Times New Roman" w:hAnsi="Times New Roman" w:eastAsia="Times New Roman" w:cs="Times New Roman"/>
          <w:color w:val="000000"/>
          <w:sz w:val="24"/>
          <w:szCs w:val="24"/>
        </w:rPr>
        <w:t>:</w:t>
      </w:r>
    </w:p>
    <w:p w14:paraId="412C86C3">
      <w:pPr>
        <w:pBdr>
          <w:top w:val="none" w:color="auto" w:sz="0" w:space="0"/>
          <w:left w:val="none" w:color="auto" w:sz="0" w:space="0"/>
          <w:bottom w:val="none" w:color="auto" w:sz="0" w:space="0"/>
          <w:right w:val="none" w:color="auto" w:sz="0" w:space="0"/>
          <w:between w:val="none" w:color="auto" w:sz="0" w:space="0"/>
        </w:pBdr>
        <w:spacing w:after="0" w:line="240" w:lineRule="auto"/>
        <w:ind w:left="360" w:hanging="360"/>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1.</w:t>
      </w:r>
      <w:r>
        <w:rPr>
          <w:rFonts w:ascii="Times New Roman" w:hAnsi="Times New Roman" w:eastAsia="Times New Roman" w:cs="Times New Roman"/>
          <w:color w:val="000000"/>
          <w:sz w:val="24"/>
          <w:szCs w:val="24"/>
        </w:rPr>
        <w:tab/>
      </w:r>
      <w:r>
        <w:rPr>
          <w:rFonts w:ascii="Times New Roman" w:hAnsi="Times New Roman" w:eastAsia="Times New Roman" w:cs="Times New Roman"/>
          <w:color w:val="000000"/>
          <w:sz w:val="24"/>
          <w:szCs w:val="24"/>
        </w:rPr>
        <w:t>Takano Y, Okatani K, Okamoto S, Enoki N. Congenital patent urachus in an adult: a case report. International journal of urology. 1994 Sep;1(3):275-7.</w:t>
      </w:r>
    </w:p>
    <w:p w14:paraId="63257866">
      <w:pPr>
        <w:pBdr>
          <w:top w:val="none" w:color="auto" w:sz="0" w:space="0"/>
          <w:left w:val="none" w:color="auto" w:sz="0" w:space="0"/>
          <w:bottom w:val="none" w:color="auto" w:sz="0" w:space="0"/>
          <w:right w:val="none" w:color="auto" w:sz="0" w:space="0"/>
          <w:between w:val="none" w:color="auto" w:sz="0" w:space="0"/>
        </w:pBdr>
        <w:spacing w:after="0" w:line="240" w:lineRule="auto"/>
        <w:ind w:left="360" w:hanging="360"/>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2.</w:t>
      </w:r>
      <w:r>
        <w:rPr>
          <w:rFonts w:ascii="Times New Roman" w:hAnsi="Times New Roman" w:eastAsia="Times New Roman" w:cs="Times New Roman"/>
          <w:color w:val="000000"/>
          <w:sz w:val="24"/>
          <w:szCs w:val="24"/>
        </w:rPr>
        <w:tab/>
      </w:r>
      <w:r>
        <w:rPr>
          <w:rFonts w:ascii="Times New Roman" w:hAnsi="Times New Roman" w:eastAsia="Times New Roman" w:cs="Times New Roman"/>
          <w:color w:val="000000"/>
          <w:sz w:val="24"/>
          <w:szCs w:val="24"/>
        </w:rPr>
        <w:t>Wilmoth CL. Persistent urachus in the adult. JAMA. 1936;106:526-529</w:t>
      </w:r>
    </w:p>
    <w:p w14:paraId="3E46562A">
      <w:pPr>
        <w:pBdr>
          <w:top w:val="none" w:color="auto" w:sz="0" w:space="0"/>
          <w:left w:val="none" w:color="auto" w:sz="0" w:space="0"/>
          <w:bottom w:val="none" w:color="auto" w:sz="0" w:space="0"/>
          <w:right w:val="none" w:color="auto" w:sz="0" w:space="0"/>
          <w:between w:val="none" w:color="auto" w:sz="0" w:space="0"/>
        </w:pBdr>
        <w:spacing w:after="0" w:line="240" w:lineRule="auto"/>
        <w:ind w:left="360" w:hanging="360"/>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3.</w:t>
      </w:r>
      <w:r>
        <w:rPr>
          <w:rFonts w:ascii="Times New Roman" w:hAnsi="Times New Roman" w:eastAsia="Times New Roman" w:cs="Times New Roman"/>
          <w:color w:val="000000"/>
          <w:sz w:val="24"/>
          <w:szCs w:val="24"/>
        </w:rPr>
        <w:tab/>
      </w:r>
      <w:r>
        <w:rPr>
          <w:rFonts w:ascii="Times New Roman" w:hAnsi="Times New Roman" w:eastAsia="Times New Roman" w:cs="Times New Roman"/>
          <w:color w:val="000000"/>
          <w:sz w:val="24"/>
          <w:szCs w:val="24"/>
        </w:rPr>
        <w:t>Hinman F Jr. Surgical disorders of the bladder and umbilicus of urachal origin. Surg GynecolObstet 1961;113:605-614</w:t>
      </w:r>
    </w:p>
    <w:p w14:paraId="36780385">
      <w:pPr>
        <w:pBdr>
          <w:top w:val="none" w:color="auto" w:sz="0" w:space="0"/>
          <w:left w:val="none" w:color="auto" w:sz="0" w:space="0"/>
          <w:bottom w:val="none" w:color="auto" w:sz="0" w:space="0"/>
          <w:right w:val="none" w:color="auto" w:sz="0" w:space="0"/>
          <w:between w:val="none" w:color="auto" w:sz="0" w:space="0"/>
        </w:pBdr>
        <w:spacing w:after="0" w:line="240" w:lineRule="auto"/>
        <w:ind w:left="360" w:hanging="360"/>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4.</w:t>
      </w:r>
      <w:r>
        <w:rPr>
          <w:rFonts w:ascii="Times New Roman" w:hAnsi="Times New Roman" w:eastAsia="Times New Roman" w:cs="Times New Roman"/>
          <w:color w:val="000000"/>
          <w:sz w:val="24"/>
          <w:szCs w:val="24"/>
        </w:rPr>
        <w:tab/>
      </w:r>
      <w:r>
        <w:rPr>
          <w:rFonts w:ascii="Times New Roman" w:hAnsi="Times New Roman" w:eastAsia="Times New Roman" w:cs="Times New Roman"/>
          <w:color w:val="000000"/>
          <w:sz w:val="24"/>
          <w:szCs w:val="24"/>
        </w:rPr>
        <w:t>Parada Villavicencio C, Adam SZ, Nikolaidis P, Yaghmai V, Miller FH. Imaging of the urachus: anomalies, complications, and mimics. Radiographics. 2016 Nov;36(7):2049-63.</w:t>
      </w:r>
    </w:p>
    <w:p w14:paraId="5FF6CE82">
      <w:pPr>
        <w:pBdr>
          <w:top w:val="none" w:color="auto" w:sz="0" w:space="0"/>
          <w:left w:val="none" w:color="auto" w:sz="0" w:space="0"/>
          <w:bottom w:val="none" w:color="auto" w:sz="0" w:space="0"/>
          <w:right w:val="none" w:color="auto" w:sz="0" w:space="0"/>
          <w:between w:val="none" w:color="auto" w:sz="0" w:space="0"/>
        </w:pBdr>
        <w:spacing w:after="0" w:line="240" w:lineRule="auto"/>
        <w:ind w:left="360" w:hanging="360"/>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5.</w:t>
      </w:r>
      <w:r>
        <w:rPr>
          <w:rFonts w:ascii="Times New Roman" w:hAnsi="Times New Roman" w:eastAsia="Times New Roman" w:cs="Times New Roman"/>
          <w:color w:val="000000"/>
          <w:sz w:val="24"/>
          <w:szCs w:val="24"/>
        </w:rPr>
        <w:tab/>
      </w:r>
      <w:r>
        <w:rPr>
          <w:rFonts w:ascii="Times New Roman" w:hAnsi="Times New Roman" w:eastAsia="Times New Roman" w:cs="Times New Roman"/>
          <w:color w:val="000000"/>
          <w:sz w:val="24"/>
          <w:szCs w:val="24"/>
        </w:rPr>
        <w:t>Fode M, Pedersen GL, Azawi N. Symptomatic urachal remnants: case series with results of a robot-assisted laparoscopic approach with primary umbilicoplasty. Scandinavian Journal of Urology. 2016 Nov 1;50(6):463-7.</w:t>
      </w:r>
    </w:p>
    <w:p w14:paraId="02810367">
      <w:pPr>
        <w:pBdr>
          <w:top w:val="none" w:color="auto" w:sz="0" w:space="0"/>
          <w:left w:val="none" w:color="auto" w:sz="0" w:space="0"/>
          <w:bottom w:val="none" w:color="auto" w:sz="0" w:space="0"/>
          <w:right w:val="none" w:color="auto" w:sz="0" w:space="0"/>
          <w:between w:val="none" w:color="auto" w:sz="0" w:space="0"/>
        </w:pBdr>
        <w:spacing w:after="0" w:line="240" w:lineRule="auto"/>
        <w:ind w:left="360" w:hanging="360"/>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6.</w:t>
      </w:r>
      <w:r>
        <w:rPr>
          <w:rFonts w:ascii="Times New Roman" w:hAnsi="Times New Roman" w:eastAsia="Times New Roman" w:cs="Times New Roman"/>
          <w:color w:val="000000"/>
          <w:sz w:val="24"/>
          <w:szCs w:val="24"/>
        </w:rPr>
        <w:tab/>
      </w:r>
      <w:r>
        <w:rPr>
          <w:rFonts w:ascii="Times New Roman" w:hAnsi="Times New Roman" w:eastAsia="Times New Roman" w:cs="Times New Roman"/>
          <w:color w:val="000000"/>
          <w:sz w:val="24"/>
          <w:szCs w:val="24"/>
        </w:rPr>
        <w:t>Blichert-Toft M, Nielsen OV. Diseases of the urachus simulating intra-abdominal disorders. Am J Surg. 1971;122:123- 128.</w:t>
      </w:r>
    </w:p>
    <w:p w14:paraId="753EB610">
      <w:pPr>
        <w:pBdr>
          <w:top w:val="none" w:color="auto" w:sz="0" w:space="0"/>
          <w:left w:val="none" w:color="auto" w:sz="0" w:space="0"/>
          <w:bottom w:val="none" w:color="auto" w:sz="0" w:space="0"/>
          <w:right w:val="none" w:color="auto" w:sz="0" w:space="0"/>
          <w:between w:val="none" w:color="auto" w:sz="0" w:space="0"/>
        </w:pBdr>
        <w:spacing w:after="0" w:line="240" w:lineRule="auto"/>
        <w:ind w:left="360" w:hanging="360"/>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7.</w:t>
      </w:r>
      <w:r>
        <w:rPr>
          <w:rFonts w:ascii="Times New Roman" w:hAnsi="Times New Roman" w:eastAsia="Times New Roman" w:cs="Times New Roman"/>
          <w:color w:val="000000"/>
          <w:sz w:val="24"/>
          <w:szCs w:val="24"/>
        </w:rPr>
        <w:tab/>
      </w:r>
      <w:r>
        <w:rPr>
          <w:rFonts w:ascii="Times New Roman" w:hAnsi="Times New Roman" w:eastAsia="Times New Roman" w:cs="Times New Roman"/>
          <w:color w:val="000000"/>
          <w:sz w:val="24"/>
          <w:szCs w:val="24"/>
        </w:rPr>
        <w:t>Buckspan MB. Patent urachus and infected urachal cyst in an adult: A case report. Can J Surg. 1984;27:496-499.</w:t>
      </w:r>
    </w:p>
    <w:p w14:paraId="74CB7E63">
      <w:pPr>
        <w:pBdr>
          <w:top w:val="none" w:color="auto" w:sz="0" w:space="0"/>
          <w:left w:val="none" w:color="auto" w:sz="0" w:space="0"/>
          <w:bottom w:val="none" w:color="auto" w:sz="0" w:space="0"/>
          <w:right w:val="none" w:color="auto" w:sz="0" w:space="0"/>
          <w:between w:val="none" w:color="auto" w:sz="0" w:space="0"/>
        </w:pBdr>
        <w:spacing w:after="0" w:line="240" w:lineRule="auto"/>
        <w:ind w:left="360" w:hanging="360"/>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8.</w:t>
      </w:r>
      <w:r>
        <w:rPr>
          <w:rFonts w:ascii="Times New Roman" w:hAnsi="Times New Roman" w:eastAsia="Times New Roman" w:cs="Times New Roman"/>
          <w:color w:val="000000"/>
          <w:sz w:val="24"/>
          <w:szCs w:val="24"/>
        </w:rPr>
        <w:tab/>
      </w:r>
      <w:r>
        <w:rPr>
          <w:rFonts w:ascii="Times New Roman" w:hAnsi="Times New Roman" w:eastAsia="Times New Roman" w:cs="Times New Roman"/>
          <w:color w:val="000000"/>
          <w:sz w:val="24"/>
          <w:szCs w:val="24"/>
        </w:rPr>
        <w:t>Ward TT, Saltzman E, Chiang S. Infected urachal remnants in the adult: Case report and review. Clin Infect Dis 1993;16:26-29</w:t>
      </w:r>
    </w:p>
    <w:p w14:paraId="50FA580C">
      <w:pPr>
        <w:pBdr>
          <w:top w:val="none" w:color="auto" w:sz="0" w:space="0"/>
          <w:left w:val="none" w:color="auto" w:sz="0" w:space="0"/>
          <w:bottom w:val="none" w:color="auto" w:sz="0" w:space="0"/>
          <w:right w:val="none" w:color="auto" w:sz="0" w:space="0"/>
          <w:between w:val="none" w:color="auto" w:sz="0" w:space="0"/>
        </w:pBdr>
        <w:spacing w:after="0" w:line="240" w:lineRule="auto"/>
        <w:ind w:left="360" w:hanging="360"/>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9.</w:t>
      </w:r>
      <w:r>
        <w:rPr>
          <w:rFonts w:ascii="Times New Roman" w:hAnsi="Times New Roman" w:eastAsia="Times New Roman" w:cs="Times New Roman"/>
          <w:color w:val="000000"/>
          <w:sz w:val="24"/>
          <w:szCs w:val="24"/>
        </w:rPr>
        <w:tab/>
      </w:r>
      <w:r>
        <w:rPr>
          <w:rFonts w:ascii="Times New Roman" w:hAnsi="Times New Roman" w:eastAsia="Times New Roman" w:cs="Times New Roman"/>
          <w:color w:val="000000"/>
          <w:sz w:val="24"/>
          <w:szCs w:val="24"/>
        </w:rPr>
        <w:t>Ueno T, Hashimoto H, Yokoyama H, Ito M, Kouda K, Kanamaru H. Urachal anomalies: ultrasonography and management. J Pediatr Surg. 2003;38:1203-7.</w:t>
      </w:r>
    </w:p>
    <w:p w14:paraId="39C2DA39">
      <w:pPr>
        <w:pBdr>
          <w:top w:val="none" w:color="auto" w:sz="0" w:space="0"/>
          <w:left w:val="none" w:color="auto" w:sz="0" w:space="0"/>
          <w:bottom w:val="none" w:color="auto" w:sz="0" w:space="0"/>
          <w:right w:val="none" w:color="auto" w:sz="0" w:space="0"/>
          <w:between w:val="none" w:color="auto" w:sz="0" w:space="0"/>
        </w:pBdr>
        <w:spacing w:after="0" w:line="240" w:lineRule="auto"/>
        <w:ind w:left="360" w:hanging="360"/>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10.</w:t>
      </w:r>
      <w:r>
        <w:rPr>
          <w:rFonts w:ascii="Times New Roman" w:hAnsi="Times New Roman" w:eastAsia="Times New Roman" w:cs="Times New Roman"/>
          <w:color w:val="000000"/>
          <w:sz w:val="24"/>
          <w:szCs w:val="24"/>
        </w:rPr>
        <w:tab/>
      </w:r>
      <w:r>
        <w:rPr>
          <w:rFonts w:ascii="Times New Roman" w:hAnsi="Times New Roman" w:eastAsia="Times New Roman" w:cs="Times New Roman"/>
          <w:color w:val="000000"/>
          <w:sz w:val="24"/>
          <w:szCs w:val="24"/>
        </w:rPr>
        <w:t>Blichert-Toft M, Nielsen OV. Congenital patent urachus and acquired variants. Diagnosis and treatment: review of the literature and report of five cases. Acta Chir Scand. 1971;137:807-14.</w:t>
      </w:r>
    </w:p>
    <w:p w14:paraId="74ECB8F3">
      <w:pPr>
        <w:pBdr>
          <w:top w:val="none" w:color="auto" w:sz="0" w:space="0"/>
          <w:left w:val="none" w:color="auto" w:sz="0" w:space="0"/>
          <w:bottom w:val="none" w:color="auto" w:sz="0" w:space="0"/>
          <w:right w:val="none" w:color="auto" w:sz="0" w:space="0"/>
          <w:between w:val="none" w:color="auto" w:sz="0" w:space="0"/>
        </w:pBdr>
        <w:spacing w:after="0" w:line="240" w:lineRule="auto"/>
        <w:ind w:left="360" w:hanging="360"/>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11.</w:t>
      </w:r>
      <w:r>
        <w:rPr>
          <w:rFonts w:ascii="Times New Roman" w:hAnsi="Times New Roman" w:eastAsia="Times New Roman" w:cs="Times New Roman"/>
          <w:color w:val="000000"/>
          <w:sz w:val="24"/>
          <w:szCs w:val="24"/>
        </w:rPr>
        <w:tab/>
      </w:r>
      <w:r>
        <w:rPr>
          <w:rFonts w:ascii="Times New Roman" w:hAnsi="Times New Roman" w:eastAsia="Times New Roman" w:cs="Times New Roman"/>
          <w:color w:val="000000"/>
          <w:sz w:val="24"/>
          <w:szCs w:val="24"/>
        </w:rPr>
        <w:t>Renard O, Robert G, Guillot P, Pasticier G, Roche JB, Benhard JC, et al. Benign urachus abnormalities: embryology, diagnosis and treatments. Prog Urol. 2008;18(10):634-41.</w:t>
      </w:r>
    </w:p>
    <w:p w14:paraId="5A47551A">
      <w:pPr>
        <w:pBdr>
          <w:top w:val="none" w:color="auto" w:sz="0" w:space="0"/>
          <w:left w:val="none" w:color="auto" w:sz="0" w:space="0"/>
          <w:bottom w:val="none" w:color="auto" w:sz="0" w:space="0"/>
          <w:right w:val="none" w:color="auto" w:sz="0" w:space="0"/>
          <w:between w:val="none" w:color="auto" w:sz="0" w:space="0"/>
        </w:pBdr>
        <w:spacing w:after="0" w:line="240" w:lineRule="auto"/>
        <w:ind w:left="360" w:hanging="360"/>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12.</w:t>
      </w:r>
      <w:r>
        <w:rPr>
          <w:rFonts w:ascii="Times New Roman" w:hAnsi="Times New Roman" w:eastAsia="Times New Roman" w:cs="Times New Roman"/>
          <w:color w:val="000000"/>
          <w:sz w:val="24"/>
          <w:szCs w:val="24"/>
        </w:rPr>
        <w:tab/>
      </w:r>
      <w:r>
        <w:rPr>
          <w:rFonts w:ascii="Times New Roman" w:hAnsi="Times New Roman" w:eastAsia="Times New Roman" w:cs="Times New Roman"/>
          <w:color w:val="000000"/>
          <w:sz w:val="24"/>
          <w:szCs w:val="24"/>
        </w:rPr>
        <w:t>Severson CR. Enhancing nurse practitioner understanding of urachal anomalies. J Am Acad Nurse Pract. 2011;23(1):2-7.</w:t>
      </w:r>
    </w:p>
    <w:p w14:paraId="0F4A0FFB">
      <w:pPr>
        <w:pBdr>
          <w:top w:val="none" w:color="auto" w:sz="0" w:space="0"/>
          <w:left w:val="none" w:color="auto" w:sz="0" w:space="0"/>
          <w:bottom w:val="none" w:color="auto" w:sz="0" w:space="0"/>
          <w:right w:val="none" w:color="auto" w:sz="0" w:space="0"/>
          <w:between w:val="none" w:color="auto" w:sz="0" w:space="0"/>
        </w:pBdr>
        <w:spacing w:after="0" w:line="240" w:lineRule="auto"/>
        <w:ind w:left="360" w:hanging="360"/>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13.</w:t>
      </w:r>
      <w:r>
        <w:rPr>
          <w:rFonts w:ascii="Times New Roman" w:hAnsi="Times New Roman" w:eastAsia="Times New Roman" w:cs="Times New Roman"/>
          <w:color w:val="000000"/>
          <w:sz w:val="24"/>
          <w:szCs w:val="24"/>
        </w:rPr>
        <w:tab/>
      </w:r>
      <w:r>
        <w:rPr>
          <w:rFonts w:ascii="Times New Roman" w:hAnsi="Times New Roman" w:eastAsia="Times New Roman" w:cs="Times New Roman"/>
          <w:color w:val="000000"/>
          <w:sz w:val="24"/>
          <w:szCs w:val="24"/>
        </w:rPr>
        <w:t>Ashley RA, Inman BA, Routh JC, Rohlinger AL, Husmann DA, Kramer SA. Urachal anomalies: a longitudinal study of urachal remnants in children and adults. J Urol. 2007;178(4):1615-8.</w:t>
      </w:r>
    </w:p>
    <w:p w14:paraId="5787D6E3">
      <w:pPr>
        <w:pBdr>
          <w:top w:val="none" w:color="auto" w:sz="0" w:space="0"/>
          <w:left w:val="none" w:color="auto" w:sz="0" w:space="0"/>
          <w:bottom w:val="none" w:color="auto" w:sz="0" w:space="0"/>
          <w:right w:val="none" w:color="auto" w:sz="0" w:space="0"/>
          <w:between w:val="none" w:color="auto" w:sz="0" w:space="0"/>
        </w:pBdr>
        <w:spacing w:after="0" w:line="240" w:lineRule="auto"/>
        <w:ind w:left="360" w:hanging="360"/>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14.</w:t>
      </w:r>
      <w:r>
        <w:rPr>
          <w:rFonts w:ascii="Times New Roman" w:hAnsi="Times New Roman" w:eastAsia="Times New Roman" w:cs="Times New Roman"/>
          <w:color w:val="000000"/>
          <w:sz w:val="24"/>
          <w:szCs w:val="24"/>
        </w:rPr>
        <w:tab/>
      </w:r>
      <w:r>
        <w:rPr>
          <w:rFonts w:ascii="Times New Roman" w:hAnsi="Times New Roman" w:eastAsia="Times New Roman" w:cs="Times New Roman"/>
          <w:color w:val="000000"/>
          <w:sz w:val="24"/>
          <w:szCs w:val="24"/>
        </w:rPr>
        <w:t>Srivastava VK, Roy S, Meena RN, Khanna R. Urachal fistula in a 22-year male: a case report. International Surgery Journal.  2020 Aug 27;7(9):3102-4.</w:t>
      </w:r>
    </w:p>
    <w:p w14:paraId="7EB80D87">
      <w:pPr>
        <w:pBdr>
          <w:top w:val="none" w:color="auto" w:sz="0" w:space="0"/>
          <w:left w:val="none" w:color="auto" w:sz="0" w:space="0"/>
          <w:bottom w:val="none" w:color="auto" w:sz="0" w:space="0"/>
          <w:right w:val="none" w:color="auto" w:sz="0" w:space="0"/>
          <w:between w:val="none" w:color="auto" w:sz="0" w:space="0"/>
        </w:pBdr>
        <w:spacing w:after="0" w:line="240" w:lineRule="auto"/>
        <w:ind w:left="360" w:hanging="360"/>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15.</w:t>
      </w:r>
      <w:r>
        <w:rPr>
          <w:rFonts w:ascii="Times New Roman" w:hAnsi="Times New Roman" w:eastAsia="Times New Roman" w:cs="Times New Roman"/>
          <w:color w:val="000000"/>
          <w:sz w:val="24"/>
          <w:szCs w:val="24"/>
        </w:rPr>
        <w:tab/>
      </w:r>
      <w:r>
        <w:rPr>
          <w:rFonts w:ascii="Times New Roman" w:hAnsi="Times New Roman" w:eastAsia="Times New Roman" w:cs="Times New Roman"/>
          <w:color w:val="000000"/>
          <w:sz w:val="24"/>
          <w:szCs w:val="24"/>
        </w:rPr>
        <w:t>Sherman JM, Rocker J, Rakovchik E. Her belly button is leaking: a case of patent urachus. Pediatr Emerg Care. 2015;31(3):202-4.</w:t>
      </w:r>
    </w:p>
    <w:p w14:paraId="4DB8B586">
      <w:pPr>
        <w:pBdr>
          <w:top w:val="none" w:color="auto" w:sz="0" w:space="0"/>
          <w:left w:val="none" w:color="auto" w:sz="0" w:space="0"/>
          <w:bottom w:val="none" w:color="auto" w:sz="0" w:space="0"/>
          <w:right w:val="none" w:color="auto" w:sz="0" w:space="0"/>
          <w:between w:val="none" w:color="auto" w:sz="0" w:space="0"/>
        </w:pBdr>
        <w:spacing w:after="0" w:line="240" w:lineRule="auto"/>
        <w:ind w:left="360" w:hanging="360"/>
        <w:jc w:val="both"/>
        <w:rPr>
          <w:rFonts w:ascii="Times New Roman" w:hAnsi="Times New Roman" w:eastAsia="Times New Roman" w:cs="Times New Roman"/>
          <w:color w:val="000000"/>
          <w:sz w:val="24"/>
          <w:szCs w:val="24"/>
          <w:highlight w:val="white"/>
        </w:rPr>
      </w:pPr>
      <w:r>
        <w:rPr>
          <w:rFonts w:ascii="Times New Roman" w:hAnsi="Times New Roman" w:eastAsia="Times New Roman" w:cs="Times New Roman"/>
          <w:color w:val="000000"/>
          <w:sz w:val="24"/>
          <w:szCs w:val="24"/>
        </w:rPr>
        <w:t>16.</w:t>
      </w:r>
      <w:r>
        <w:rPr>
          <w:rFonts w:ascii="Times New Roman" w:hAnsi="Times New Roman" w:eastAsia="Times New Roman" w:cs="Times New Roman"/>
          <w:color w:val="000000"/>
          <w:sz w:val="24"/>
          <w:szCs w:val="24"/>
        </w:rPr>
        <w:tab/>
      </w:r>
      <w:r>
        <w:rPr>
          <w:rFonts w:ascii="Times New Roman" w:hAnsi="Times New Roman" w:eastAsia="Times New Roman" w:cs="Times New Roman"/>
          <w:color w:val="000000"/>
          <w:sz w:val="24"/>
          <w:szCs w:val="24"/>
          <w:highlight w:val="white"/>
        </w:rPr>
        <w:t>Gleason JM, Bowlin PR, Bagli DJ, Lorenzo AJ, Hassouna T, Koyle MA, Farhat WA. A comprehensive review of pediatric urachal anomalies and predictive analysis for adult urachal adenocarcinoma. J Urol. 2015 Feb;193(2):632-6.</w:t>
      </w:r>
    </w:p>
    <w:p w14:paraId="44E1C13A">
      <w:pPr>
        <w:pBdr>
          <w:top w:val="none" w:color="auto" w:sz="0" w:space="0"/>
          <w:left w:val="none" w:color="auto" w:sz="0" w:space="0"/>
          <w:bottom w:val="none" w:color="auto" w:sz="0" w:space="0"/>
          <w:right w:val="none" w:color="auto" w:sz="0" w:space="0"/>
          <w:between w:val="none" w:color="auto" w:sz="0" w:space="0"/>
        </w:pBdr>
        <w:spacing w:after="0" w:line="240" w:lineRule="auto"/>
        <w:ind w:left="360" w:hanging="360"/>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highlight w:val="white"/>
        </w:rPr>
        <w:t>17.</w:t>
      </w:r>
      <w:r>
        <w:rPr>
          <w:rFonts w:ascii="Times New Roman" w:hAnsi="Times New Roman" w:eastAsia="Times New Roman" w:cs="Times New Roman"/>
          <w:color w:val="000000"/>
          <w:sz w:val="24"/>
          <w:szCs w:val="24"/>
          <w:highlight w:val="white"/>
        </w:rPr>
        <w:tab/>
      </w:r>
      <w:r>
        <w:rPr>
          <w:rFonts w:ascii="Times New Roman" w:hAnsi="Times New Roman" w:eastAsia="Times New Roman" w:cs="Times New Roman"/>
          <w:color w:val="000000"/>
          <w:sz w:val="24"/>
          <w:szCs w:val="24"/>
        </w:rPr>
        <w:t>Amu OC, Affusim EA, Nnadozie UU, Eze BU. Development of a Leaking Urachal Fistula in A BPH Patient with Recurrent Acute Urinary Retention: A Case Report. Transformation. 2021 Oct 20;11:13.</w:t>
      </w:r>
    </w:p>
    <w:p w14:paraId="6B6F24F9">
      <w:pPr>
        <w:pBdr>
          <w:top w:val="none" w:color="auto" w:sz="0" w:space="0"/>
          <w:left w:val="none" w:color="auto" w:sz="0" w:space="0"/>
          <w:bottom w:val="none" w:color="auto" w:sz="0" w:space="0"/>
          <w:right w:val="none" w:color="auto" w:sz="0" w:space="0"/>
          <w:between w:val="none" w:color="auto" w:sz="0" w:space="0"/>
        </w:pBdr>
        <w:spacing w:after="0" w:line="240" w:lineRule="auto"/>
        <w:ind w:left="360" w:hanging="360"/>
        <w:jc w:val="both"/>
        <w:rPr>
          <w:rFonts w:ascii="Times New Roman" w:hAnsi="Times New Roman" w:eastAsia="Times New Roman" w:cs="Times New Roman"/>
          <w:b/>
          <w:i/>
          <w:color w:val="FF0000"/>
          <w:sz w:val="24"/>
          <w:szCs w:val="24"/>
        </w:rPr>
      </w:pPr>
      <w:r>
        <w:rPr>
          <w:rFonts w:ascii="Times New Roman" w:hAnsi="Times New Roman" w:eastAsia="Times New Roman" w:cs="Times New Roman"/>
          <w:color w:val="000000"/>
          <w:sz w:val="24"/>
          <w:szCs w:val="24"/>
        </w:rPr>
        <w:t>18.</w:t>
      </w:r>
      <w:r>
        <w:rPr>
          <w:rFonts w:ascii="Times New Roman" w:hAnsi="Times New Roman" w:eastAsia="Times New Roman" w:cs="Times New Roman"/>
          <w:color w:val="000000"/>
          <w:sz w:val="24"/>
          <w:szCs w:val="24"/>
        </w:rPr>
        <w:tab/>
      </w:r>
      <w:r>
        <w:rPr>
          <w:rFonts w:ascii="Times New Roman" w:hAnsi="Times New Roman" w:eastAsia="Times New Roman" w:cs="Times New Roman"/>
          <w:color w:val="000000"/>
          <w:sz w:val="24"/>
          <w:szCs w:val="24"/>
        </w:rPr>
        <w:t>Mrad DK, Ben RS, Zaghbib S, Oueslati A, Gharbi M, Nouira Y. Infected urachal cyst in an adult: a case report. Urology Case Reports. 2019;26:100976.</w:t>
      </w:r>
    </w:p>
    <w:p w14:paraId="148457B9">
      <w:pPr>
        <w:pBdr>
          <w:top w:val="none" w:color="auto" w:sz="0" w:space="0"/>
          <w:left w:val="none" w:color="auto" w:sz="0" w:space="0"/>
          <w:bottom w:val="none" w:color="auto" w:sz="0" w:space="0"/>
          <w:right w:val="none" w:color="auto" w:sz="0" w:space="0"/>
          <w:between w:val="none" w:color="auto" w:sz="0" w:space="0"/>
        </w:pBdr>
        <w:spacing w:after="0" w:line="240" w:lineRule="auto"/>
        <w:ind w:left="360" w:hanging="360"/>
        <w:jc w:val="both"/>
        <w:rPr>
          <w:rFonts w:ascii="Times New Roman" w:hAnsi="Times New Roman" w:eastAsia="Times New Roman" w:cs="Times New Roman"/>
          <w:color w:val="000000"/>
          <w:sz w:val="24"/>
          <w:szCs w:val="24"/>
          <w:highlight w:val="white"/>
        </w:rPr>
      </w:pPr>
      <w:r>
        <w:rPr>
          <w:rFonts w:ascii="Times New Roman" w:hAnsi="Times New Roman" w:eastAsia="Times New Roman" w:cs="Times New Roman"/>
          <w:color w:val="000000"/>
          <w:sz w:val="24"/>
          <w:szCs w:val="24"/>
        </w:rPr>
        <w:t>19.</w:t>
      </w:r>
      <w:r>
        <w:rPr>
          <w:rFonts w:ascii="Times New Roman" w:hAnsi="Times New Roman" w:eastAsia="Times New Roman" w:cs="Times New Roman"/>
          <w:b/>
          <w:color w:val="000000"/>
          <w:sz w:val="24"/>
          <w:szCs w:val="24"/>
        </w:rPr>
        <w:tab/>
      </w:r>
      <w:r>
        <w:rPr>
          <w:rFonts w:ascii="Times New Roman" w:hAnsi="Times New Roman" w:eastAsia="Times New Roman" w:cs="Times New Roman"/>
          <w:color w:val="000000"/>
          <w:sz w:val="24"/>
          <w:szCs w:val="24"/>
          <w:highlight w:val="white"/>
        </w:rPr>
        <w:t xml:space="preserve">Yapo BR, Gerges B, Holland AJ. Investigation and management of suspected urachal anomalies in children. Pediatr Surg Int. 2008 May;24(5):589-92. </w:t>
      </w:r>
    </w:p>
    <w:p w14:paraId="2C2606F9">
      <w:pPr>
        <w:pBdr>
          <w:top w:val="none" w:color="auto" w:sz="0" w:space="0"/>
          <w:left w:val="none" w:color="auto" w:sz="0" w:space="0"/>
          <w:bottom w:val="none" w:color="auto" w:sz="0" w:space="0"/>
          <w:right w:val="none" w:color="auto" w:sz="0" w:space="0"/>
          <w:between w:val="none" w:color="auto" w:sz="0" w:space="0"/>
        </w:pBdr>
        <w:spacing w:after="0" w:line="240" w:lineRule="auto"/>
        <w:ind w:left="360" w:hanging="360"/>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20.</w:t>
      </w:r>
      <w:r>
        <w:rPr>
          <w:rFonts w:ascii="Times New Roman" w:hAnsi="Times New Roman" w:eastAsia="Times New Roman" w:cs="Times New Roman"/>
          <w:color w:val="000000"/>
          <w:sz w:val="24"/>
          <w:szCs w:val="24"/>
        </w:rPr>
        <w:tab/>
      </w:r>
      <w:r>
        <w:rPr>
          <w:rFonts w:ascii="Times New Roman" w:hAnsi="Times New Roman" w:eastAsia="Times New Roman" w:cs="Times New Roman"/>
          <w:color w:val="000000"/>
          <w:sz w:val="24"/>
          <w:szCs w:val="24"/>
        </w:rPr>
        <w:t>Berman SM, Reid RE,Tolia BM, Schweizerhof SP, Laor E, Freed SZ. Urachal remnants in adults. Urology. 1988;31:17-21</w:t>
      </w:r>
    </w:p>
    <w:p w14:paraId="4684A9CA">
      <w:pPr>
        <w:pBdr>
          <w:top w:val="none" w:color="auto" w:sz="0" w:space="0"/>
          <w:left w:val="none" w:color="auto" w:sz="0" w:space="0"/>
          <w:bottom w:val="none" w:color="auto" w:sz="0" w:space="0"/>
          <w:right w:val="none" w:color="auto" w:sz="0" w:space="0"/>
          <w:between w:val="none" w:color="auto" w:sz="0" w:space="0"/>
        </w:pBdr>
        <w:spacing w:after="0" w:line="240" w:lineRule="auto"/>
        <w:ind w:left="360" w:hanging="360"/>
        <w:jc w:val="both"/>
        <w:rPr>
          <w:color w:val="000000"/>
        </w:rPr>
      </w:pPr>
      <w:r>
        <w:rPr>
          <w:rFonts w:ascii="Times New Roman" w:hAnsi="Times New Roman" w:eastAsia="Times New Roman" w:cs="Times New Roman"/>
          <w:color w:val="000000"/>
          <w:sz w:val="24"/>
          <w:szCs w:val="24"/>
        </w:rPr>
        <w:t>21.</w:t>
      </w:r>
      <w:r>
        <w:rPr>
          <w:rFonts w:ascii="Times New Roman" w:hAnsi="Times New Roman" w:eastAsia="Times New Roman" w:cs="Times New Roman"/>
          <w:color w:val="000000"/>
          <w:sz w:val="24"/>
          <w:szCs w:val="24"/>
        </w:rPr>
        <w:tab/>
      </w:r>
      <w:r>
        <w:rPr>
          <w:rFonts w:ascii="Times New Roman" w:hAnsi="Times New Roman" w:eastAsia="Times New Roman" w:cs="Times New Roman"/>
          <w:color w:val="000000"/>
          <w:sz w:val="24"/>
          <w:szCs w:val="24"/>
        </w:rPr>
        <w:t>Bertozzi M, Recchia N, Di Cara G, Riccioni S, Rinaldi VE, Esposito S, Appignaniet A. Ultrasonographic diagnosis and minimally invasive treatment of a patent urachus associated with a patent omphalomesenteric duct in a newborn: a case report. Medicine (Baltim.) 2017;96(30):7087.</w:t>
      </w:r>
    </w:p>
    <w:sectPr>
      <w:headerReference r:id="rId5" w:type="default"/>
      <w:footerReference r:id="rId6" w:type="default"/>
      <w:pgSz w:w="11907" w:h="16839"/>
      <w:pgMar w:top="720" w:right="720" w:bottom="1152" w:left="1152" w:header="720" w:footer="720" w:gutter="0"/>
      <w:pgNumType w:start="52"/>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 w:name="等线">
    <w:altName w:val="Arial Unicode MS"/>
    <w:panose1 w:val="00000000000000000000"/>
    <w:charset w:val="86"/>
    <w:family w:val="auto"/>
    <w:pitch w:val="default"/>
    <w:sig w:usb0="00000000" w:usb1="00000000" w:usb2="00000000" w:usb3="00000000" w:csb0="00000000" w:csb1="00000000"/>
  </w:font>
  <w:font w:name="Cambria">
    <w:panose1 w:val="02040503050406030204"/>
    <w:charset w:val="00"/>
    <w:family w:val="roman"/>
    <w:pitch w:val="default"/>
    <w:sig w:usb0="E00006FF" w:usb1="420024FF" w:usb2="02000000" w:usb3="00000000" w:csb0="2000019F" w:csb1="00000000"/>
  </w:font>
  <w:font w:name="Tahoma">
    <w:panose1 w:val="020B0604030504040204"/>
    <w:charset w:val="00"/>
    <w:family w:val="swiss"/>
    <w:pitch w:val="default"/>
    <w:sig w:usb0="E1002EFF" w:usb1="C000605B" w:usb2="00000029" w:usb3="00000000" w:csb0="200101FF" w:csb1="20280000"/>
  </w:font>
  <w:font w:name="Georgia">
    <w:panose1 w:val="02040502050405020303"/>
    <w:charset w:val="00"/>
    <w:family w:val="roman"/>
    <w:pitch w:val="default"/>
    <w:sig w:usb0="00000287" w:usb1="00000000" w:usb2="00000000" w:usb3="00000000" w:csb0="2000009F" w:csb1="00000000"/>
  </w:font>
  <w:font w:name="Book Antiqua">
    <w:panose1 w:val="02040602050305030304"/>
    <w:charset w:val="00"/>
    <w:family w:val="roman"/>
    <w:pitch w:val="default"/>
    <w:sig w:usb0="00000287" w:usb1="00000000" w:usb2="00000000" w:usb3="00000000" w:csb0="2000009F" w:csb1="DFD70000"/>
  </w:font>
  <w:font w:name="Futura BdCn BT">
    <w:altName w:val="Century Gothic"/>
    <w:panose1 w:val="00000000000000000000"/>
    <w:charset w:val="00"/>
    <w:family w:val="swiss"/>
    <w:pitch w:val="default"/>
    <w:sig w:usb0="00000000" w:usb1="00000000" w:usb2="00000000" w:usb3="00000000" w:csb0="0000001B" w:csb1="00000000"/>
  </w:font>
  <w:font w:name="Century Gothic">
    <w:panose1 w:val="020B0502020202020204"/>
    <w:charset w:val="00"/>
    <w:family w:val="auto"/>
    <w:pitch w:val="default"/>
    <w:sig w:usb0="00000287" w:usb1="00000000" w:usb2="00000000" w:usb3="00000000" w:csb0="2000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A8C4D9">
    <w:pPr>
      <w:widowControl w:val="0"/>
      <w:pBdr>
        <w:top w:val="none" w:color="auto" w:sz="0" w:space="0"/>
        <w:left w:val="none" w:color="auto" w:sz="0" w:space="0"/>
        <w:bottom w:val="none" w:color="auto" w:sz="0" w:space="0"/>
        <w:right w:val="none" w:color="auto" w:sz="0" w:space="0"/>
        <w:between w:val="none" w:color="auto" w:sz="0" w:space="0"/>
      </w:pBdr>
      <w:spacing w:after="0"/>
      <w:rPr>
        <w:rFonts w:ascii="Times New Roman" w:hAnsi="Times New Roman" w:eastAsia="Times New Roman" w:cs="Times New Roman"/>
        <w:b/>
        <w:i/>
        <w:sz w:val="18"/>
        <w:szCs w:val="18"/>
      </w:rPr>
    </w:pPr>
  </w:p>
  <w:tbl>
    <w:tblPr>
      <w:tblStyle w:val="16"/>
      <w:tblW w:w="19696" w:type="dxa"/>
      <w:tblInd w:w="-115" w:type="dxa"/>
      <w:tblBorders>
        <w:top w:val="single" w:color="808080" w:sz="18" w:space="0"/>
        <w:left w:val="none" w:color="auto" w:sz="0" w:space="0"/>
        <w:bottom w:val="none" w:color="auto" w:sz="0" w:space="0"/>
        <w:right w:val="none" w:color="auto" w:sz="0" w:space="0"/>
        <w:insideH w:val="none" w:color="auto" w:sz="0" w:space="0"/>
        <w:insideV w:val="single" w:color="808080" w:sz="18" w:space="0"/>
      </w:tblBorders>
      <w:tblLayout w:type="fixed"/>
      <w:tblCellMar>
        <w:top w:w="0" w:type="dxa"/>
        <w:left w:w="115" w:type="dxa"/>
        <w:bottom w:w="0" w:type="dxa"/>
        <w:right w:w="115" w:type="dxa"/>
      </w:tblCellMar>
    </w:tblPr>
    <w:tblGrid>
      <w:gridCol w:w="1093"/>
      <w:gridCol w:w="9302"/>
      <w:gridCol w:w="9301"/>
    </w:tblGrid>
    <w:tr w14:paraId="6B3F91A9">
      <w:tblPrEx>
        <w:tblBorders>
          <w:top w:val="single" w:color="808080" w:sz="18" w:space="0"/>
          <w:left w:val="none" w:color="auto" w:sz="0" w:space="0"/>
          <w:bottom w:val="none" w:color="auto" w:sz="0" w:space="0"/>
          <w:right w:val="none" w:color="auto" w:sz="0" w:space="0"/>
          <w:insideH w:val="none" w:color="auto" w:sz="0" w:space="0"/>
          <w:insideV w:val="single" w:color="808080" w:sz="18" w:space="0"/>
        </w:tblBorders>
        <w:tblCellMar>
          <w:top w:w="0" w:type="dxa"/>
          <w:left w:w="115" w:type="dxa"/>
          <w:bottom w:w="0" w:type="dxa"/>
          <w:right w:w="115" w:type="dxa"/>
        </w:tblCellMar>
      </w:tblPrEx>
      <w:tc>
        <w:tcPr>
          <w:tcW w:w="1093" w:type="dxa"/>
        </w:tcPr>
        <w:p w14:paraId="0C34C6BD">
          <w:pPr>
            <w:pBdr>
              <w:top w:val="none" w:color="auto" w:sz="0" w:space="0"/>
              <w:left w:val="none" w:color="auto" w:sz="0" w:space="0"/>
              <w:bottom w:val="none" w:color="auto" w:sz="0" w:space="0"/>
              <w:right w:val="none" w:color="auto" w:sz="0" w:space="0"/>
              <w:between w:val="none" w:color="auto" w:sz="0" w:space="0"/>
            </w:pBdr>
            <w:tabs>
              <w:tab w:val="center" w:pos="4680"/>
              <w:tab w:val="right" w:pos="9360"/>
            </w:tabs>
            <w:spacing w:after="0" w:line="240" w:lineRule="auto"/>
            <w:jc w:val="center"/>
            <w:rPr>
              <w:rFonts w:ascii="Times New Roman" w:hAnsi="Times New Roman" w:eastAsia="Times New Roman" w:cs="Times New Roman"/>
              <w:b/>
              <w:color w:val="000000"/>
              <w:sz w:val="28"/>
              <w:szCs w:val="28"/>
            </w:rPr>
          </w:pPr>
          <w:r>
            <w:rPr>
              <w:rFonts w:ascii="Times New Roman" w:hAnsi="Times New Roman" w:eastAsia="Times New Roman" w:cs="Times New Roman"/>
              <w:color w:val="000000"/>
              <w:sz w:val="28"/>
              <w:szCs w:val="28"/>
            </w:rPr>
            <w:fldChar w:fldCharType="begin"/>
          </w:r>
          <w:r>
            <w:rPr>
              <w:rFonts w:ascii="Times New Roman" w:hAnsi="Times New Roman" w:eastAsia="Times New Roman" w:cs="Times New Roman"/>
              <w:color w:val="000000"/>
              <w:sz w:val="28"/>
              <w:szCs w:val="28"/>
            </w:rPr>
            <w:instrText xml:space="preserve">PAGE</w:instrText>
          </w:r>
          <w:r>
            <w:rPr>
              <w:rFonts w:ascii="Times New Roman" w:hAnsi="Times New Roman" w:eastAsia="Times New Roman" w:cs="Times New Roman"/>
              <w:color w:val="000000"/>
              <w:sz w:val="28"/>
              <w:szCs w:val="28"/>
            </w:rPr>
            <w:fldChar w:fldCharType="separate"/>
          </w:r>
          <w:r>
            <w:rPr>
              <w:rFonts w:ascii="Times New Roman" w:hAnsi="Times New Roman" w:eastAsia="Times New Roman" w:cs="Times New Roman"/>
              <w:color w:val="000000"/>
              <w:sz w:val="28"/>
              <w:szCs w:val="28"/>
            </w:rPr>
            <w:t>58</w:t>
          </w:r>
          <w:r>
            <w:rPr>
              <w:rFonts w:ascii="Times New Roman" w:hAnsi="Times New Roman" w:eastAsia="Times New Roman" w:cs="Times New Roman"/>
              <w:color w:val="000000"/>
              <w:sz w:val="28"/>
              <w:szCs w:val="28"/>
            </w:rPr>
            <w:fldChar w:fldCharType="end"/>
          </w:r>
        </w:p>
      </w:tc>
      <w:tc>
        <w:tcPr>
          <w:tcW w:w="9302" w:type="dxa"/>
          <w:vAlign w:val="top"/>
        </w:tcPr>
        <w:p w14:paraId="5F38A8A8">
          <w:pPr>
            <w:pStyle w:val="11"/>
            <w:rPr>
              <w:rFonts w:ascii="Times New Roman" w:hAnsi="Times New Roman" w:eastAsia="Times New Roman" w:cs="Times New Roman"/>
              <w:color w:val="000000"/>
              <w:sz w:val="18"/>
              <w:szCs w:val="18"/>
            </w:rPr>
          </w:pPr>
          <w:r>
            <w:rPr>
              <w:rFonts w:cstheme="minorHAnsi"/>
              <w:b/>
              <w:i/>
              <w:sz w:val="17"/>
              <w:szCs w:val="17"/>
            </w:rPr>
            <w:t>The Nigerian Journal of General Practice</w:t>
          </w:r>
          <w:r>
            <w:rPr>
              <w:rFonts w:cstheme="minorHAnsi"/>
              <w:sz w:val="17"/>
              <w:szCs w:val="17"/>
            </w:rPr>
            <w:t xml:space="preserve"> 20(2):</w:t>
          </w:r>
          <w:r>
            <w:rPr>
              <w:rFonts w:ascii="Times New Roman" w:hAnsi="Times New Roman" w:cs="Times New Roman"/>
              <w:sz w:val="17"/>
              <w:szCs w:val="17"/>
            </w:rPr>
            <w:t xml:space="preserve"> July - Dec., 2022; 21(1): Jan. - June, 2023; 21(2): Ju</w:t>
          </w:r>
          <w:r>
            <w:rPr>
              <w:rFonts w:hint="default" w:ascii="Times New Roman" w:hAnsi="Times New Roman" w:cs="Times New Roman"/>
              <w:sz w:val="17"/>
              <w:szCs w:val="17"/>
              <w:lang w:val="en-US"/>
            </w:rPr>
            <w:t>ly</w:t>
          </w:r>
          <w:r>
            <w:rPr>
              <w:rFonts w:ascii="Times New Roman" w:hAnsi="Times New Roman" w:cs="Times New Roman"/>
              <w:sz w:val="17"/>
              <w:szCs w:val="17"/>
            </w:rPr>
            <w:t xml:space="preserve"> - Dec., 2023</w:t>
          </w:r>
        </w:p>
      </w:tc>
      <w:tc>
        <w:tcPr>
          <w:tcW w:w="9301" w:type="dxa"/>
        </w:tcPr>
        <w:p w14:paraId="7ABD88CA">
          <w:pPr>
            <w:pBdr>
              <w:top w:val="none" w:color="auto" w:sz="0" w:space="0"/>
              <w:left w:val="none" w:color="auto" w:sz="0" w:space="0"/>
              <w:bottom w:val="none" w:color="auto" w:sz="0" w:space="0"/>
              <w:right w:val="none" w:color="auto" w:sz="0" w:space="0"/>
              <w:between w:val="none" w:color="auto" w:sz="0" w:space="0"/>
            </w:pBdr>
            <w:tabs>
              <w:tab w:val="center" w:pos="4680"/>
              <w:tab w:val="right" w:pos="9360"/>
            </w:tabs>
            <w:spacing w:after="0" w:line="240" w:lineRule="auto"/>
            <w:rPr>
              <w:rFonts w:ascii="Times New Roman" w:hAnsi="Times New Roman" w:eastAsia="Times New Roman" w:cs="Times New Roman"/>
              <w:color w:val="000000"/>
              <w:sz w:val="16"/>
              <w:szCs w:val="16"/>
            </w:rPr>
          </w:pPr>
        </w:p>
        <w:p w14:paraId="3C3F035F">
          <w:pPr>
            <w:pBdr>
              <w:top w:val="none" w:color="auto" w:sz="0" w:space="0"/>
              <w:left w:val="none" w:color="auto" w:sz="0" w:space="0"/>
              <w:bottom w:val="none" w:color="auto" w:sz="0" w:space="0"/>
              <w:right w:val="none" w:color="auto" w:sz="0" w:space="0"/>
              <w:between w:val="none" w:color="auto" w:sz="0" w:space="0"/>
            </w:pBdr>
            <w:tabs>
              <w:tab w:val="center" w:pos="4680"/>
              <w:tab w:val="right" w:pos="9360"/>
            </w:tabs>
            <w:spacing w:after="0" w:line="240" w:lineRule="auto"/>
            <w:rPr>
              <w:rFonts w:ascii="Times New Roman" w:hAnsi="Times New Roman" w:eastAsia="Times New Roman" w:cs="Times New Roman"/>
              <w:color w:val="000000"/>
              <w:sz w:val="18"/>
              <w:szCs w:val="18"/>
            </w:rPr>
          </w:pPr>
        </w:p>
      </w:tc>
    </w:tr>
  </w:tbl>
  <w:p w14:paraId="64179D92">
    <w:pPr>
      <w:pBdr>
        <w:top w:val="none" w:color="auto" w:sz="0" w:space="0"/>
        <w:left w:val="none" w:color="auto" w:sz="0" w:space="0"/>
        <w:bottom w:val="none" w:color="auto" w:sz="0" w:space="0"/>
        <w:right w:val="none" w:color="auto" w:sz="0" w:space="0"/>
        <w:between w:val="none" w:color="auto" w:sz="0" w:space="0"/>
      </w:pBdr>
      <w:tabs>
        <w:tab w:val="center" w:pos="4680"/>
        <w:tab w:val="right" w:pos="9360"/>
      </w:tabs>
      <w:spacing w:after="0" w:line="240" w:lineRule="auto"/>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9E48B38">
    <w:pPr>
      <w:pBdr>
        <w:top w:val="none" w:color="auto" w:sz="0" w:space="0"/>
        <w:left w:val="none" w:color="auto" w:sz="0" w:space="0"/>
        <w:bottom w:val="none" w:color="auto" w:sz="0" w:space="0"/>
        <w:right w:val="none" w:color="auto" w:sz="0" w:space="0"/>
        <w:between w:val="none" w:color="auto" w:sz="0" w:space="0"/>
      </w:pBdr>
      <w:spacing w:after="0" w:line="240" w:lineRule="auto"/>
      <w:jc w:val="right"/>
      <w:rPr>
        <w:rFonts w:ascii="Times New Roman" w:hAnsi="Times New Roman" w:eastAsia="Times New Roman" w:cs="Times New Roman"/>
        <w:i/>
        <w:color w:val="000000"/>
        <w:sz w:val="20"/>
        <w:szCs w:val="20"/>
      </w:rPr>
    </w:pPr>
  </w:p>
  <w:p w14:paraId="706B6B78">
    <w:pPr>
      <w:pBdr>
        <w:top w:val="none" w:color="auto" w:sz="0" w:space="0"/>
        <w:left w:val="none" w:color="auto" w:sz="0" w:space="0"/>
        <w:bottom w:val="none" w:color="auto" w:sz="0" w:space="0"/>
        <w:right w:val="none" w:color="auto" w:sz="0" w:space="0"/>
        <w:between w:val="none" w:color="auto" w:sz="0" w:space="0"/>
      </w:pBdr>
      <w:spacing w:after="0" w:line="240" w:lineRule="auto"/>
      <w:jc w:val="right"/>
      <w:rPr>
        <w:rFonts w:ascii="Times New Roman" w:hAnsi="Times New Roman" w:eastAsia="Times New Roman" w:cs="Times New Roman"/>
        <w:b/>
        <w:i/>
        <w:color w:val="000000"/>
        <w:sz w:val="20"/>
        <w:szCs w:val="20"/>
      </w:rPr>
    </w:pPr>
    <w:r>
      <w:rPr>
        <w:rFonts w:ascii="Times New Roman" w:hAnsi="Times New Roman" w:eastAsia="Times New Roman" w:cs="Times New Roman"/>
        <w:i/>
        <w:color w:val="000000"/>
        <w:sz w:val="20"/>
        <w:szCs w:val="20"/>
      </w:rPr>
      <w:t>Persistent Patent Urachus in an Adult</w:t>
    </w:r>
  </w:p>
  <w:p w14:paraId="322C7234">
    <w:pPr>
      <w:jc w:val="right"/>
      <w:rPr>
        <w:rFonts w:ascii="Times New Roman" w:hAnsi="Times New Roman" w:eastAsia="Times New Roman" w:cs="Times New Roman"/>
        <w:b/>
        <w:i/>
        <w:sz w:val="18"/>
        <w:szCs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9"/>
  <w:documentProtection w:enforcement="0"/>
  <w:defaultTabStop w:val="720"/>
  <w:characterSpacingControl w:val="doNotCompress"/>
  <w:footnotePr>
    <w:footnote w:id="0"/>
    <w:footnote w:id="1"/>
  </w:footnotePr>
  <w:endnotePr>
    <w:endnote w:id="0"/>
    <w:endnote w:id="1"/>
  </w:endnotePr>
  <w:compat>
    <w:compatSetting w:name="compatibilityMode" w:uri="http://schemas.microsoft.com/office/word" w:val="12"/>
  </w:compat>
  <w:rsids>
    <w:rsidRoot w:val="00275260"/>
    <w:rsid w:val="000043FD"/>
    <w:rsid w:val="0002634E"/>
    <w:rsid w:val="000846BE"/>
    <w:rsid w:val="0010539C"/>
    <w:rsid w:val="001A522B"/>
    <w:rsid w:val="001B3C64"/>
    <w:rsid w:val="001E7766"/>
    <w:rsid w:val="00275260"/>
    <w:rsid w:val="00385F95"/>
    <w:rsid w:val="00425F24"/>
    <w:rsid w:val="00434780"/>
    <w:rsid w:val="004919B7"/>
    <w:rsid w:val="004D4B0C"/>
    <w:rsid w:val="00610762"/>
    <w:rsid w:val="007F720D"/>
    <w:rsid w:val="00907E17"/>
    <w:rsid w:val="00A42CA8"/>
    <w:rsid w:val="00A57A7F"/>
    <w:rsid w:val="00B91774"/>
    <w:rsid w:val="00D213C3"/>
    <w:rsid w:val="00E63C64"/>
    <w:rsid w:val="2F537EE7"/>
    <w:rsid w:val="45344889"/>
    <w:rsid w:val="4E616AEF"/>
    <w:rsid w:val="564E4BB1"/>
    <w:rsid w:val="58C60D50"/>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Calibri" w:cs="Calibr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200" w:line="276" w:lineRule="auto"/>
    </w:pPr>
    <w:rPr>
      <w:rFonts w:ascii="Calibri" w:hAnsi="Calibri" w:eastAsia="Calibri" w:cs="Calibri"/>
      <w:sz w:val="22"/>
      <w:szCs w:val="22"/>
      <w:lang w:val="en-US" w:eastAsia="en-GB" w:bidi="ar-SA"/>
    </w:rPr>
  </w:style>
  <w:style w:type="paragraph" w:styleId="2">
    <w:name w:val="heading 1"/>
    <w:basedOn w:val="1"/>
    <w:next w:val="1"/>
    <w:qFormat/>
    <w:uiPriority w:val="9"/>
    <w:pPr>
      <w:keepNext/>
      <w:keepLines/>
      <w:spacing w:before="480" w:after="0"/>
      <w:outlineLvl w:val="0"/>
    </w:pPr>
    <w:rPr>
      <w:rFonts w:ascii="Cambria" w:hAnsi="Cambria" w:eastAsia="Cambria" w:cs="Cambria"/>
      <w:b/>
      <w:color w:val="366091"/>
      <w:sz w:val="28"/>
      <w:szCs w:val="28"/>
    </w:rPr>
  </w:style>
  <w:style w:type="paragraph" w:styleId="3">
    <w:name w:val="heading 2"/>
    <w:basedOn w:val="1"/>
    <w:next w:val="1"/>
    <w:semiHidden/>
    <w:unhideWhenUsed/>
    <w:qFormat/>
    <w:uiPriority w:val="9"/>
    <w:pPr>
      <w:keepNext/>
      <w:keepLines/>
      <w:spacing w:before="40" w:after="0" w:line="259" w:lineRule="auto"/>
      <w:outlineLvl w:val="1"/>
    </w:pPr>
    <w:rPr>
      <w:rFonts w:ascii="Cambria" w:hAnsi="Cambria" w:eastAsia="Cambria" w:cs="Cambria"/>
      <w:color w:val="366091"/>
      <w:sz w:val="26"/>
      <w:szCs w:val="26"/>
    </w:rPr>
  </w:style>
  <w:style w:type="paragraph" w:styleId="4">
    <w:name w:val="heading 3"/>
    <w:basedOn w:val="1"/>
    <w:next w:val="1"/>
    <w:semiHidden/>
    <w:unhideWhenUsed/>
    <w:qFormat/>
    <w:uiPriority w:val="9"/>
    <w:pPr>
      <w:keepNext/>
      <w:keepLines/>
      <w:spacing w:before="200" w:after="0"/>
      <w:outlineLvl w:val="2"/>
    </w:pPr>
    <w:rPr>
      <w:rFonts w:ascii="Cambria" w:hAnsi="Cambria" w:eastAsia="Cambria" w:cs="Cambria"/>
      <w:b/>
      <w:color w:val="4F81BD"/>
    </w:rPr>
  </w:style>
  <w:style w:type="paragraph" w:styleId="5">
    <w:name w:val="heading 4"/>
    <w:basedOn w:val="1"/>
    <w:next w:val="1"/>
    <w:semiHidden/>
    <w:unhideWhenUsed/>
    <w:qFormat/>
    <w:uiPriority w:val="9"/>
    <w:pPr>
      <w:keepNext/>
      <w:keepLines/>
      <w:spacing w:before="200" w:after="0"/>
      <w:outlineLvl w:val="3"/>
    </w:pPr>
    <w:rPr>
      <w:rFonts w:ascii="Cambria" w:hAnsi="Cambria" w:eastAsia="Cambria" w:cs="Cambria"/>
      <w:b/>
      <w:i/>
      <w:color w:val="4F81BD"/>
    </w:rPr>
  </w:style>
  <w:style w:type="paragraph" w:styleId="6">
    <w:name w:val="heading 5"/>
    <w:basedOn w:val="1"/>
    <w:next w:val="1"/>
    <w:semiHidden/>
    <w:unhideWhenUsed/>
    <w:qFormat/>
    <w:uiPriority w:val="9"/>
    <w:pPr>
      <w:keepNext/>
      <w:keepLines/>
      <w:spacing w:before="220" w:after="40"/>
      <w:outlineLvl w:val="4"/>
    </w:pPr>
    <w:rPr>
      <w:b/>
    </w:rPr>
  </w:style>
  <w:style w:type="paragraph" w:styleId="7">
    <w:name w:val="heading 6"/>
    <w:basedOn w:val="1"/>
    <w:next w:val="1"/>
    <w:semiHidden/>
    <w:unhideWhenUsed/>
    <w:qFormat/>
    <w:uiPriority w:val="9"/>
    <w:pPr>
      <w:keepNext/>
      <w:keepLines/>
      <w:spacing w:before="200" w:after="40"/>
      <w:outlineLvl w:val="5"/>
    </w:pPr>
    <w:rPr>
      <w:b/>
      <w:sz w:val="20"/>
      <w:szCs w:val="20"/>
    </w:rPr>
  </w:style>
  <w:style w:type="character" w:default="1" w:styleId="8">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10">
    <w:name w:val="Balloon Text"/>
    <w:basedOn w:val="1"/>
    <w:link w:val="18"/>
    <w:semiHidden/>
    <w:unhideWhenUsed/>
    <w:qFormat/>
    <w:uiPriority w:val="99"/>
    <w:pPr>
      <w:spacing w:after="0" w:line="240" w:lineRule="auto"/>
    </w:pPr>
    <w:rPr>
      <w:rFonts w:ascii="Tahoma" w:hAnsi="Tahoma" w:cs="Tahoma"/>
      <w:sz w:val="16"/>
      <w:szCs w:val="16"/>
    </w:rPr>
  </w:style>
  <w:style w:type="paragraph" w:styleId="11">
    <w:name w:val="footer"/>
    <w:basedOn w:val="1"/>
    <w:link w:val="20"/>
    <w:semiHidden/>
    <w:unhideWhenUsed/>
    <w:qFormat/>
    <w:uiPriority w:val="99"/>
    <w:pPr>
      <w:tabs>
        <w:tab w:val="center" w:pos="4680"/>
        <w:tab w:val="right" w:pos="9360"/>
      </w:tabs>
      <w:spacing w:after="0" w:line="240" w:lineRule="auto"/>
    </w:pPr>
  </w:style>
  <w:style w:type="paragraph" w:styleId="12">
    <w:name w:val="header"/>
    <w:basedOn w:val="1"/>
    <w:link w:val="19"/>
    <w:semiHidden/>
    <w:unhideWhenUsed/>
    <w:qFormat/>
    <w:uiPriority w:val="99"/>
    <w:pPr>
      <w:tabs>
        <w:tab w:val="center" w:pos="4680"/>
        <w:tab w:val="right" w:pos="9360"/>
      </w:tabs>
      <w:spacing w:after="0" w:line="240" w:lineRule="auto"/>
    </w:pPr>
  </w:style>
  <w:style w:type="character" w:styleId="13">
    <w:name w:val="Hyperlink"/>
    <w:basedOn w:val="8"/>
    <w:unhideWhenUsed/>
    <w:qFormat/>
    <w:uiPriority w:val="99"/>
    <w:rPr>
      <w:color w:val="0000FF" w:themeColor="hyperlink"/>
      <w:u w:val="single"/>
    </w:rPr>
  </w:style>
  <w:style w:type="paragraph" w:styleId="14">
    <w:name w:val="Subtitle"/>
    <w:basedOn w:val="1"/>
    <w:next w:val="1"/>
    <w:qFormat/>
    <w:uiPriority w:val="11"/>
    <w:pPr>
      <w:keepNext/>
      <w:keepLines/>
      <w:spacing w:before="360" w:after="80"/>
    </w:pPr>
    <w:rPr>
      <w:rFonts w:ascii="Georgia" w:hAnsi="Georgia" w:eastAsia="Georgia" w:cs="Georgia"/>
      <w:i/>
      <w:color w:val="666666"/>
      <w:sz w:val="48"/>
      <w:szCs w:val="48"/>
    </w:rPr>
  </w:style>
  <w:style w:type="paragraph" w:styleId="15">
    <w:name w:val="Title"/>
    <w:basedOn w:val="1"/>
    <w:next w:val="1"/>
    <w:qFormat/>
    <w:uiPriority w:val="10"/>
    <w:pPr>
      <w:keepNext/>
      <w:keepLines/>
      <w:spacing w:before="480" w:after="120"/>
    </w:pPr>
    <w:rPr>
      <w:b/>
      <w:sz w:val="72"/>
      <w:szCs w:val="72"/>
    </w:rPr>
  </w:style>
  <w:style w:type="table" w:customStyle="1" w:styleId="16">
    <w:name w:val="_Style 11"/>
    <w:basedOn w:val="9"/>
    <w:qFormat/>
    <w:uiPriority w:val="0"/>
    <w:tblPr>
      <w:tblCellMar>
        <w:top w:w="0" w:type="dxa"/>
        <w:left w:w="115" w:type="dxa"/>
        <w:bottom w:w="0" w:type="dxa"/>
        <w:right w:w="115" w:type="dxa"/>
      </w:tblCellMar>
    </w:tblPr>
  </w:style>
  <w:style w:type="character" w:customStyle="1" w:styleId="17">
    <w:name w:val="Unresolved Mention"/>
    <w:basedOn w:val="8"/>
    <w:semiHidden/>
    <w:unhideWhenUsed/>
    <w:qFormat/>
    <w:uiPriority w:val="99"/>
    <w:rPr>
      <w:color w:val="605E5C"/>
      <w:shd w:val="clear" w:color="auto" w:fill="E1DFDD"/>
    </w:rPr>
  </w:style>
  <w:style w:type="character" w:customStyle="1" w:styleId="18">
    <w:name w:val="Balloon Text Char"/>
    <w:basedOn w:val="8"/>
    <w:link w:val="10"/>
    <w:semiHidden/>
    <w:qFormat/>
    <w:uiPriority w:val="99"/>
    <w:rPr>
      <w:rFonts w:ascii="Tahoma" w:hAnsi="Tahoma" w:cs="Tahoma"/>
      <w:sz w:val="16"/>
      <w:szCs w:val="16"/>
    </w:rPr>
  </w:style>
  <w:style w:type="character" w:customStyle="1" w:styleId="19">
    <w:name w:val="Header Char"/>
    <w:basedOn w:val="8"/>
    <w:link w:val="12"/>
    <w:semiHidden/>
    <w:qFormat/>
    <w:uiPriority w:val="99"/>
  </w:style>
  <w:style w:type="character" w:customStyle="1" w:styleId="20">
    <w:name w:val="Footer Char"/>
    <w:basedOn w:val="8"/>
    <w:link w:val="11"/>
    <w:semiHidden/>
    <w:qFormat/>
    <w:uiPriority w:val="99"/>
  </w:style>
</w:styles>
</file>

<file path=word/_rels/document.xml.rels><?xml version="1.0" encoding="UTF-8" standalone="yes"?>
<Relationships xmlns="http://schemas.openxmlformats.org/package/2006/relationships"><Relationship Id="rId9" Type="http://schemas.openxmlformats.org/officeDocument/2006/relationships/oleObject" Target="embeddings/oleObject1.bin"/><Relationship Id="rId8" Type="http://schemas.openxmlformats.org/officeDocument/2006/relationships/image" Target="media/image1.pn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8" Type="http://schemas.openxmlformats.org/officeDocument/2006/relationships/fontTable" Target="fontTable.xml"/><Relationship Id="rId17" Type="http://schemas.openxmlformats.org/officeDocument/2006/relationships/customXml" Target="../customXml/item1.xml"/><Relationship Id="rId16" Type="http://schemas.openxmlformats.org/officeDocument/2006/relationships/image" Target="media/image7.png"/><Relationship Id="rId15" Type="http://schemas.openxmlformats.org/officeDocument/2006/relationships/image" Target="media/image6.png"/><Relationship Id="rId14" Type="http://schemas.openxmlformats.org/officeDocument/2006/relationships/image" Target="media/image5.png"/><Relationship Id="rId13" Type="http://schemas.openxmlformats.org/officeDocument/2006/relationships/image" Target="media/image4.png"/><Relationship Id="rId12" Type="http://schemas.openxmlformats.org/officeDocument/2006/relationships/image" Target="media/image3.emf"/><Relationship Id="rId11" Type="http://schemas.openxmlformats.org/officeDocument/2006/relationships/oleObject" Target="embeddings/oleObject2.bin"/><Relationship Id="rId10" Type="http://schemas.openxmlformats.org/officeDocument/2006/relationships/image" Target="media/image2.emf"/><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Info spid="_x0000_s1091"/>
    <customShpInfo spid="_x0000_s1093"/>
    <customShpInfo spid="_x0000_s1094"/>
    <customShpInfo spid="_x0000_s1095"/>
    <customShpInfo spid="_x0000_s1092"/>
    <customShpInfo spid="_x0000_s1097"/>
    <customShpInfo spid="_x0000_s1099"/>
    <customShpInfo spid="_x0000_s1100"/>
    <customShpInfo spid="_x0000_s1101"/>
    <customShpInfo spid="_x0000_s1098"/>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7</Pages>
  <Words>1793</Words>
  <Characters>10221</Characters>
  <Lines>85</Lines>
  <Paragraphs>23</Paragraphs>
  <TotalTime>0</TotalTime>
  <ScaleCrop>false</ScaleCrop>
  <LinksUpToDate>false</LinksUpToDate>
  <CharactersWithSpaces>11991</CharactersWithSpaces>
  <Application>WPS Office_12.2.0.18607_F1E327BC-269C-435d-A152-05C5408002CA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2024-10-31T20:08:00Z</dcterms:created>
  <dc:creator>Jide Onyekwelu</dc:creator>
  <cp:lastModifiedBy>Factory</cp:lastModifiedBy>
  <cp:lastPrinted>2024-10-29T17:31:00Z</cp:lastPrinted>
  <dcterms:modified xsi:type="dcterms:W3CDTF">2024-11-06T12:35:43Z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1033-12.2.0.18607</vt:lpwstr>
  </property>
  <property fmtid="{D5CDD505-2E9C-101B-9397-08002B2CF9AE}" pid="3" name="ICV">
    <vt:lpwstr>E4CED5892E9E42CEBEDBD942DCBEE4B7_12</vt:lpwstr>
  </property>
</Properties>
</file>